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85" w:rsidRDefault="00BC2C85">
      <w:pPr>
        <w:tabs>
          <w:tab w:val="center" w:pos="4680"/>
        </w:tabs>
        <w:jc w:val="both"/>
      </w:pPr>
      <w:bookmarkStart w:id="0" w:name="_GoBack"/>
      <w:bookmarkEnd w:id="0"/>
      <w:r>
        <w:tab/>
      </w:r>
      <w:r>
        <w:rPr>
          <w:b/>
          <w:bCs/>
        </w:rPr>
        <w:t>PROFORMA ASSET ALLOCATION ANALYSIS</w:t>
      </w:r>
    </w:p>
    <w:p w:rsidR="00BC2C85" w:rsidRDefault="00BC2C85">
      <w:pPr>
        <w:jc w:val="both"/>
      </w:pPr>
    </w:p>
    <w:p w:rsidR="00BC2C85" w:rsidRDefault="00BC2C85">
      <w:pPr>
        <w:jc w:val="both"/>
      </w:pPr>
    </w:p>
    <w:p w:rsidR="00BC2C85" w:rsidRDefault="00BC2C85">
      <w:pPr>
        <w:jc w:val="both"/>
      </w:pPr>
      <w:r>
        <w:t xml:space="preserve">A financial model was developed to provide </w:t>
      </w:r>
      <w:proofErr w:type="spellStart"/>
      <w:r>
        <w:t>proforma</w:t>
      </w:r>
      <w:proofErr w:type="spellEnd"/>
      <w:r>
        <w:t xml:space="preserve"> data comparing the Foundation’s actual asset allocation to </w:t>
      </w:r>
      <w:proofErr w:type="spellStart"/>
      <w:r>
        <w:t>proforma</w:t>
      </w:r>
      <w:proofErr w:type="spellEnd"/>
      <w:r>
        <w:t xml:space="preserve"> alternative asset allocation assumptions for “look back” periods from one to six years.  It provides a useful tool to evaluate the effectiveness of the Foundation’s actual asset allocation strategy and the impact on the value of the portfolio.</w:t>
      </w:r>
    </w:p>
    <w:p w:rsidR="00BC2C85" w:rsidRDefault="00BC2C85">
      <w:pPr>
        <w:jc w:val="both"/>
      </w:pPr>
    </w:p>
    <w:p w:rsidR="00BC2C85" w:rsidRDefault="00BC2C85">
      <w:pPr>
        <w:jc w:val="both"/>
      </w:pPr>
      <w:r>
        <w:t xml:space="preserve">Attached </w:t>
      </w:r>
      <w:proofErr w:type="gramStart"/>
      <w:r>
        <w:t>are the summary analysis</w:t>
      </w:r>
      <w:proofErr w:type="gramEnd"/>
      <w:r>
        <w:t xml:space="preserve"> for three alternative asset allocation assumptions (70%/30%; 65%/35%; 60%/40%).  Assuming the Foundation would have used these asset allocation’s percentages beginning January 1, 1995, the total </w:t>
      </w:r>
      <w:proofErr w:type="spellStart"/>
      <w:r>
        <w:t>proforma</w:t>
      </w:r>
      <w:proofErr w:type="spellEnd"/>
      <w:r>
        <w:t xml:space="preserve"> portfolio value as of December 31, 2000 would be </w:t>
      </w:r>
      <w:r>
        <w:rPr>
          <w:u w:val="single"/>
        </w:rPr>
        <w:t>less than</w:t>
      </w:r>
      <w:r>
        <w:t xml:space="preserve"> the actual Foundation’s portfolio as summarized below:</w:t>
      </w:r>
    </w:p>
    <w:p w:rsidR="00BC2C85" w:rsidRDefault="00BC2C85">
      <w:pPr>
        <w:jc w:val="both"/>
      </w:pPr>
    </w:p>
    <w:p w:rsidR="00BC2C85" w:rsidRDefault="00BC2C85">
      <w:pPr>
        <w:ind w:firstLine="1440"/>
        <w:jc w:val="both"/>
      </w:pPr>
      <w:r>
        <w:t xml:space="preserve">Asset </w:t>
      </w:r>
      <w:r>
        <w:tab/>
      </w:r>
      <w:r>
        <w:tab/>
      </w:r>
      <w:r>
        <w:tab/>
        <w:t>Cumulative Difference</w:t>
      </w:r>
    </w:p>
    <w:p w:rsidR="00BC2C85" w:rsidRDefault="00BC2C85">
      <w:pPr>
        <w:tabs>
          <w:tab w:val="left" w:pos="-1440"/>
        </w:tabs>
        <w:ind w:left="4320" w:hanging="2880"/>
        <w:jc w:val="both"/>
      </w:pPr>
      <w:r>
        <w:t>Allocation</w:t>
      </w:r>
      <w:r>
        <w:tab/>
      </w:r>
      <w:r>
        <w:tab/>
        <w:t>Actual Versus</w:t>
      </w:r>
    </w:p>
    <w:p w:rsidR="00BC2C85" w:rsidRDefault="00BC2C85">
      <w:pPr>
        <w:tabs>
          <w:tab w:val="left" w:pos="-1440"/>
        </w:tabs>
        <w:ind w:left="4320" w:hanging="2880"/>
        <w:jc w:val="both"/>
      </w:pPr>
      <w:r>
        <w:rPr>
          <w:u w:val="single"/>
        </w:rPr>
        <w:t>Assumption</w:t>
      </w:r>
      <w:r>
        <w:tab/>
      </w:r>
      <w:r>
        <w:tab/>
      </w:r>
      <w:proofErr w:type="spellStart"/>
      <w:r>
        <w:rPr>
          <w:u w:val="single"/>
        </w:rPr>
        <w:t>Proforma</w:t>
      </w:r>
      <w:proofErr w:type="spellEnd"/>
      <w:r>
        <w:rPr>
          <w:u w:val="single"/>
        </w:rPr>
        <w:t xml:space="preserve"> Portfolio</w:t>
      </w:r>
    </w:p>
    <w:p w:rsidR="00BC2C85" w:rsidRDefault="00BC2C85">
      <w:pPr>
        <w:jc w:val="both"/>
      </w:pPr>
    </w:p>
    <w:p w:rsidR="00BC2C85" w:rsidRDefault="00BC2C85">
      <w:pPr>
        <w:tabs>
          <w:tab w:val="left" w:pos="-1440"/>
        </w:tabs>
        <w:ind w:left="4320" w:hanging="2880"/>
        <w:jc w:val="both"/>
      </w:pPr>
      <w:r>
        <w:t>70%/30%</w:t>
      </w:r>
      <w:r>
        <w:tab/>
      </w:r>
      <w:r>
        <w:tab/>
      </w:r>
      <w:r>
        <w:tab/>
        <w:t>$54,916,000</w:t>
      </w:r>
    </w:p>
    <w:p w:rsidR="00BC2C85" w:rsidRDefault="00BC2C85">
      <w:pPr>
        <w:tabs>
          <w:tab w:val="left" w:pos="-1440"/>
        </w:tabs>
        <w:ind w:left="4320" w:hanging="2880"/>
        <w:jc w:val="both"/>
      </w:pPr>
      <w:r>
        <w:t>65%/35%</w:t>
      </w:r>
      <w:r>
        <w:tab/>
      </w:r>
      <w:r>
        <w:tab/>
      </w:r>
      <w:r>
        <w:tab/>
        <w:t>$74,622,000</w:t>
      </w:r>
    </w:p>
    <w:p w:rsidR="00BC2C85" w:rsidRDefault="00BC2C85">
      <w:pPr>
        <w:tabs>
          <w:tab w:val="left" w:pos="-1440"/>
        </w:tabs>
        <w:ind w:left="4320" w:hanging="2880"/>
        <w:jc w:val="both"/>
      </w:pPr>
      <w:r>
        <w:t>60%/40%</w:t>
      </w:r>
      <w:r>
        <w:tab/>
      </w:r>
      <w:r>
        <w:tab/>
      </w:r>
      <w:r>
        <w:tab/>
        <w:t>$94,055,000</w:t>
      </w:r>
    </w:p>
    <w:p w:rsidR="00BC2C85" w:rsidRDefault="00BC2C85">
      <w:pPr>
        <w:jc w:val="both"/>
      </w:pPr>
    </w:p>
    <w:p w:rsidR="00BC2C85" w:rsidRDefault="00BC2C85">
      <w:pPr>
        <w:jc w:val="both"/>
      </w:pPr>
      <w:r>
        <w:t>For the six year period the actual asset allocation strategy utilized by the Foundation has been successful.  The year 2000 is the only year where a higher actual allocation to the fixed income portfolio would have been beneficial.</w:t>
      </w:r>
    </w:p>
    <w:p w:rsidR="00BC2C85" w:rsidRDefault="00BC2C85">
      <w:pPr>
        <w:jc w:val="both"/>
      </w:pPr>
    </w:p>
    <w:sectPr w:rsidR="00BC2C85" w:rsidSect="00BC2C85">
      <w:footerReference w:type="default" r:id="rId7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9C" w:rsidRDefault="004A369C" w:rsidP="004A369C">
      <w:r>
        <w:separator/>
      </w:r>
    </w:p>
  </w:endnote>
  <w:endnote w:type="continuationSeparator" w:id="0">
    <w:p w:rsidR="004A369C" w:rsidRDefault="004A369C" w:rsidP="004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9C" w:rsidRDefault="004A369C">
    <w:pPr>
      <w:pStyle w:val="Footer"/>
    </w:pPr>
    <w:fldSimple w:instr=" FILENAME  \p  \* MERGEFORMAT ">
      <w:r>
        <w:rPr>
          <w:noProof/>
        </w:rPr>
        <w:t>H:\Finance\INV\asset allocation analysis.wpd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9C" w:rsidRDefault="004A369C" w:rsidP="004A369C">
      <w:r>
        <w:separator/>
      </w:r>
    </w:p>
  </w:footnote>
  <w:footnote w:type="continuationSeparator" w:id="0">
    <w:p w:rsidR="004A369C" w:rsidRDefault="004A369C" w:rsidP="004A3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85"/>
    <w:rsid w:val="004A369C"/>
    <w:rsid w:val="00B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4A3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69C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69C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4A3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69C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69C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Friauf</dc:creator>
  <cp:lastModifiedBy>Cynthia Friauf</cp:lastModifiedBy>
  <cp:revision>2</cp:revision>
  <cp:lastPrinted>2013-08-30T18:04:00Z</cp:lastPrinted>
  <dcterms:created xsi:type="dcterms:W3CDTF">2013-08-30T18:06:00Z</dcterms:created>
  <dcterms:modified xsi:type="dcterms:W3CDTF">2013-08-30T18:06:00Z</dcterms:modified>
</cp:coreProperties>
</file>