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69" w:rsidRDefault="002229B4" w:rsidP="002229B4">
      <w:pPr>
        <w:pStyle w:val="NoSpacing"/>
        <w:rPr>
          <w:b/>
        </w:rPr>
      </w:pPr>
      <w:r w:rsidRPr="002229B4">
        <w:rPr>
          <w:b/>
        </w:rPr>
        <w:t>Contents</w:t>
      </w:r>
      <w:r>
        <w:rPr>
          <w:b/>
        </w:rPr>
        <w:t xml:space="preserve"> of Tax Permanent File</w:t>
      </w:r>
    </w:p>
    <w:p w:rsidR="002229B4" w:rsidRDefault="002229B4" w:rsidP="002229B4">
      <w:pPr>
        <w:pStyle w:val="NoSpacing"/>
      </w:pPr>
      <w:r>
        <w:t xml:space="preserve">Updated </w:t>
      </w:r>
      <w:r w:rsidR="0027014D">
        <w:t>3-30</w:t>
      </w:r>
      <w:r w:rsidR="00000970">
        <w:t>-2016</w:t>
      </w:r>
    </w:p>
    <w:p w:rsidR="00445AEF" w:rsidRDefault="00445AEF" w:rsidP="00F52444">
      <w:pPr>
        <w:pStyle w:val="NoSpacing"/>
      </w:pPr>
    </w:p>
    <w:p w:rsidR="003645AA" w:rsidRDefault="003645AA" w:rsidP="00F52444">
      <w:pPr>
        <w:pStyle w:val="NoSpacing"/>
      </w:pPr>
    </w:p>
    <w:p w:rsidR="003645AA" w:rsidRDefault="003645AA" w:rsidP="00F52444">
      <w:pPr>
        <w:pStyle w:val="NoSpacing"/>
        <w:rPr>
          <w:b/>
          <w:sz w:val="28"/>
          <w:szCs w:val="28"/>
        </w:rPr>
      </w:pPr>
      <w:r>
        <w:rPr>
          <w:b/>
          <w:sz w:val="28"/>
          <w:szCs w:val="28"/>
        </w:rPr>
        <w:t>BINDER 1</w:t>
      </w:r>
    </w:p>
    <w:p w:rsidR="003645AA" w:rsidRPr="003645AA" w:rsidRDefault="003645AA" w:rsidP="00F52444">
      <w:pPr>
        <w:pStyle w:val="NoSpacing"/>
        <w:rPr>
          <w:b/>
          <w:sz w:val="28"/>
          <w:szCs w:val="28"/>
        </w:rPr>
      </w:pPr>
    </w:p>
    <w:p w:rsidR="00445AEF" w:rsidRDefault="00445AEF" w:rsidP="00445AEF">
      <w:pPr>
        <w:pStyle w:val="NoSpacing"/>
      </w:pPr>
      <w:r>
        <w:rPr>
          <w:b/>
        </w:rPr>
        <w:t>Investment Information</w:t>
      </w:r>
    </w:p>
    <w:p w:rsidR="00000970" w:rsidRDefault="00000970" w:rsidP="004A555D">
      <w:pPr>
        <w:pStyle w:val="NoSpacing"/>
        <w:numPr>
          <w:ilvl w:val="0"/>
          <w:numId w:val="2"/>
        </w:numPr>
      </w:pPr>
      <w:r>
        <w:t>Deloitte presentation on tax considerations for structuring a private equity fund (10/1/2015)</w:t>
      </w:r>
    </w:p>
    <w:p w:rsidR="00F52444" w:rsidRDefault="00F52444" w:rsidP="00F52444">
      <w:pPr>
        <w:pStyle w:val="NoSpacing"/>
        <w:numPr>
          <w:ilvl w:val="0"/>
          <w:numId w:val="2"/>
        </w:numPr>
      </w:pPr>
      <w:r>
        <w:t>Note to file regarding BNY’s method of recording income and expenses incurred outside of the fund (11/21/2012)</w:t>
      </w:r>
    </w:p>
    <w:p w:rsidR="0069394A" w:rsidRDefault="0069394A" w:rsidP="0069394A">
      <w:pPr>
        <w:pStyle w:val="NoSpacing"/>
        <w:numPr>
          <w:ilvl w:val="0"/>
          <w:numId w:val="2"/>
        </w:numPr>
      </w:pPr>
      <w:r>
        <w:t>Note to file regarding 453(a) Installment Gain K-1 footnote and discussion on filing requirement (2011)</w:t>
      </w:r>
    </w:p>
    <w:p w:rsidR="0069394A" w:rsidRDefault="0069394A" w:rsidP="0069394A">
      <w:pPr>
        <w:pStyle w:val="NoSpacing"/>
        <w:ind w:left="360"/>
      </w:pPr>
      <w:proofErr w:type="spellStart"/>
      <w:r>
        <w:rPr>
          <w:b/>
        </w:rPr>
        <w:t>Accel</w:t>
      </w:r>
      <w:proofErr w:type="spellEnd"/>
      <w:r>
        <w:rPr>
          <w:b/>
        </w:rPr>
        <w:t xml:space="preserve"> Funds</w:t>
      </w:r>
    </w:p>
    <w:p w:rsidR="007F62E9" w:rsidRDefault="007F62E9" w:rsidP="004A555D">
      <w:pPr>
        <w:pStyle w:val="NoSpacing"/>
        <w:numPr>
          <w:ilvl w:val="0"/>
          <w:numId w:val="2"/>
        </w:numPr>
      </w:pPr>
      <w:r>
        <w:t xml:space="preserve">Notes regarding </w:t>
      </w:r>
      <w:proofErr w:type="spellStart"/>
      <w:r>
        <w:t>Accel</w:t>
      </w:r>
      <w:proofErr w:type="spellEnd"/>
      <w:r>
        <w:t xml:space="preserve"> private equity reporting</w:t>
      </w:r>
    </w:p>
    <w:p w:rsidR="0069394A" w:rsidRPr="0069394A" w:rsidRDefault="0069394A" w:rsidP="0069394A">
      <w:pPr>
        <w:pStyle w:val="NoSpacing"/>
        <w:ind w:left="360"/>
        <w:rPr>
          <w:b/>
        </w:rPr>
      </w:pPr>
      <w:r w:rsidRPr="0069394A">
        <w:rPr>
          <w:b/>
        </w:rPr>
        <w:t>Bain Capital Fund IX</w:t>
      </w:r>
    </w:p>
    <w:p w:rsidR="0069394A" w:rsidRDefault="0069394A" w:rsidP="0069394A">
      <w:pPr>
        <w:pStyle w:val="NoSpacing"/>
        <w:numPr>
          <w:ilvl w:val="0"/>
          <w:numId w:val="2"/>
        </w:numPr>
      </w:pPr>
      <w:r>
        <w:t>Copy of disclosure from 12/31/2007 financial statements for Bain Capital Fund IX regarding AIVs</w:t>
      </w:r>
    </w:p>
    <w:p w:rsidR="0069394A" w:rsidRPr="0069394A" w:rsidRDefault="0069394A" w:rsidP="0069394A">
      <w:pPr>
        <w:pStyle w:val="NoSpacing"/>
        <w:ind w:left="360"/>
        <w:rPr>
          <w:b/>
        </w:rPr>
      </w:pPr>
      <w:r w:rsidRPr="0069394A">
        <w:rPr>
          <w:b/>
        </w:rPr>
        <w:t>Coller International Partners V-B, L.P.</w:t>
      </w:r>
    </w:p>
    <w:p w:rsidR="004A555D" w:rsidRDefault="004A555D" w:rsidP="004A555D">
      <w:pPr>
        <w:pStyle w:val="NoSpacing"/>
        <w:numPr>
          <w:ilvl w:val="0"/>
          <w:numId w:val="2"/>
        </w:numPr>
      </w:pPr>
      <w:r>
        <w:t>Notes on reporting from Coller International Partners V-B, L.P. (5/23/2013)</w:t>
      </w:r>
    </w:p>
    <w:p w:rsidR="007F62E9" w:rsidRDefault="007F62E9" w:rsidP="007F62E9">
      <w:pPr>
        <w:pStyle w:val="NoSpacing"/>
        <w:numPr>
          <w:ilvl w:val="0"/>
          <w:numId w:val="2"/>
        </w:numPr>
      </w:pPr>
      <w:r>
        <w:t>E-mail regarding treatment of distributions from Coller International Partners V-B (10/11/2007)</w:t>
      </w:r>
    </w:p>
    <w:p w:rsidR="007F62E9" w:rsidRDefault="007F62E9" w:rsidP="004A555D">
      <w:pPr>
        <w:pStyle w:val="NoSpacing"/>
        <w:numPr>
          <w:ilvl w:val="0"/>
          <w:numId w:val="2"/>
        </w:numPr>
      </w:pPr>
      <w:r>
        <w:t>Form 8621 tracking for Coller International Partners V-B for tax years 2007 through 2014</w:t>
      </w:r>
    </w:p>
    <w:p w:rsidR="0069394A" w:rsidRDefault="0069394A" w:rsidP="0069394A">
      <w:pPr>
        <w:pStyle w:val="NoSpacing"/>
        <w:ind w:left="360"/>
        <w:rPr>
          <w:b/>
        </w:rPr>
      </w:pPr>
      <w:r>
        <w:rPr>
          <w:b/>
        </w:rPr>
        <w:t>Francisco Partners III</w:t>
      </w:r>
    </w:p>
    <w:p w:rsidR="004A555D" w:rsidRDefault="004A555D" w:rsidP="0069394A">
      <w:pPr>
        <w:pStyle w:val="NoSpacing"/>
        <w:numPr>
          <w:ilvl w:val="0"/>
          <w:numId w:val="2"/>
        </w:numPr>
      </w:pPr>
      <w:r>
        <w:t>E-mail regarding tax reporting of FP III (Domestic AIV) Feeder, and AIV of Francisco Partners III (5/21/2013)</w:t>
      </w:r>
    </w:p>
    <w:p w:rsidR="0069394A" w:rsidRPr="0069394A" w:rsidRDefault="0069394A" w:rsidP="0069394A">
      <w:pPr>
        <w:pStyle w:val="NoSpacing"/>
        <w:ind w:left="360"/>
        <w:rPr>
          <w:b/>
        </w:rPr>
      </w:pPr>
      <w:r w:rsidRPr="0069394A">
        <w:rPr>
          <w:b/>
        </w:rPr>
        <w:t>Greenwich Street Capital Partners II, L.P.</w:t>
      </w:r>
    </w:p>
    <w:p w:rsidR="0069394A" w:rsidRDefault="0069394A" w:rsidP="0069394A">
      <w:pPr>
        <w:pStyle w:val="NoSpacing"/>
        <w:numPr>
          <w:ilvl w:val="0"/>
          <w:numId w:val="2"/>
        </w:numPr>
      </w:pPr>
      <w:r>
        <w:t>Suspended losses from 2014 K-1</w:t>
      </w:r>
    </w:p>
    <w:p w:rsidR="0069394A" w:rsidRDefault="0069394A" w:rsidP="0069394A">
      <w:pPr>
        <w:pStyle w:val="NoSpacing"/>
        <w:numPr>
          <w:ilvl w:val="0"/>
          <w:numId w:val="2"/>
        </w:numPr>
      </w:pPr>
      <w:r>
        <w:t>Notes regarding adjustment to cost basis schedule (5/13/2014)</w:t>
      </w:r>
    </w:p>
    <w:p w:rsidR="0069394A" w:rsidRPr="0069394A" w:rsidRDefault="0069394A" w:rsidP="0069394A">
      <w:pPr>
        <w:pStyle w:val="NoSpacing"/>
        <w:ind w:left="360"/>
        <w:rPr>
          <w:b/>
        </w:rPr>
      </w:pPr>
      <w:bookmarkStart w:id="0" w:name="_GoBack"/>
      <w:bookmarkEnd w:id="0"/>
      <w:r w:rsidRPr="0069394A">
        <w:rPr>
          <w:b/>
        </w:rPr>
        <w:t>Madison Dearborn Capital Partners V</w:t>
      </w:r>
    </w:p>
    <w:p w:rsidR="001700E7" w:rsidRDefault="001700E7" w:rsidP="00445AEF">
      <w:pPr>
        <w:pStyle w:val="NoSpacing"/>
        <w:numPr>
          <w:ilvl w:val="0"/>
          <w:numId w:val="2"/>
        </w:numPr>
      </w:pPr>
      <w:r>
        <w:t>E-mail correspondence with Deloitte regarding Madison Dearborn Capital Partners</w:t>
      </w:r>
      <w:r w:rsidR="0069394A">
        <w:t xml:space="preserve"> V-B</w:t>
      </w:r>
      <w:r>
        <w:t xml:space="preserve"> Dual Consolidated Loss information for tax year 2013 (9/30/2014)</w:t>
      </w:r>
    </w:p>
    <w:p w:rsidR="003E419A" w:rsidRDefault="003E419A" w:rsidP="0069394A">
      <w:pPr>
        <w:pStyle w:val="NoSpacing"/>
        <w:ind w:left="360"/>
        <w:rPr>
          <w:b/>
        </w:rPr>
      </w:pPr>
      <w:r>
        <w:rPr>
          <w:b/>
        </w:rPr>
        <w:t>Munich Venture Partners Fund II</w:t>
      </w:r>
    </w:p>
    <w:p w:rsidR="003E419A" w:rsidRDefault="003E419A" w:rsidP="003E419A">
      <w:pPr>
        <w:pStyle w:val="NoSpacing"/>
        <w:numPr>
          <w:ilvl w:val="0"/>
          <w:numId w:val="2"/>
        </w:numPr>
        <w:rPr>
          <w:b/>
        </w:rPr>
      </w:pPr>
      <w:r>
        <w:t>Notes on alternate reporting received from MVP Fund II</w:t>
      </w:r>
    </w:p>
    <w:p w:rsidR="00A1480B" w:rsidRDefault="00A1480B" w:rsidP="0069394A">
      <w:pPr>
        <w:pStyle w:val="NoSpacing"/>
        <w:ind w:left="360"/>
        <w:rPr>
          <w:b/>
        </w:rPr>
      </w:pPr>
      <w:r>
        <w:rPr>
          <w:b/>
        </w:rPr>
        <w:t>Peak Rock Capital Fund LP</w:t>
      </w:r>
    </w:p>
    <w:p w:rsidR="00A1480B" w:rsidRPr="00A1480B" w:rsidRDefault="00A1480B" w:rsidP="00A1480B">
      <w:pPr>
        <w:pStyle w:val="NoSpacing"/>
        <w:numPr>
          <w:ilvl w:val="0"/>
          <w:numId w:val="2"/>
        </w:numPr>
      </w:pPr>
      <w:r w:rsidRPr="00A1480B">
        <w:t>E-mail correspondence from Graeme Mills at Cambridge Associates regarding which fund the Foundation is invested in</w:t>
      </w:r>
      <w:r>
        <w:t xml:space="preserve"> (3/11/2014)</w:t>
      </w:r>
    </w:p>
    <w:p w:rsidR="0069394A" w:rsidRDefault="0069394A" w:rsidP="0069394A">
      <w:pPr>
        <w:pStyle w:val="NoSpacing"/>
        <w:ind w:left="360"/>
        <w:rPr>
          <w:b/>
        </w:rPr>
      </w:pPr>
      <w:r>
        <w:rPr>
          <w:b/>
        </w:rPr>
        <w:t>WLR</w:t>
      </w:r>
    </w:p>
    <w:p w:rsidR="00281EDE" w:rsidRDefault="00281EDE" w:rsidP="0069394A">
      <w:pPr>
        <w:pStyle w:val="NoSpacing"/>
        <w:numPr>
          <w:ilvl w:val="0"/>
          <w:numId w:val="2"/>
        </w:numPr>
      </w:pPr>
      <w:r>
        <w:t>Correspondence from WLR Recovery Associates IV LLC regarding Alternative Investment Vehicle (AIV) structure (10/21/2009)</w:t>
      </w:r>
    </w:p>
    <w:p w:rsidR="007F62E9" w:rsidRDefault="007F62E9" w:rsidP="007F62E9">
      <w:pPr>
        <w:pStyle w:val="NoSpacing"/>
        <w:numPr>
          <w:ilvl w:val="0"/>
          <w:numId w:val="2"/>
        </w:numPr>
      </w:pPr>
      <w:r>
        <w:t>Notes regarding WLR RRH Feeder AIV, LLC and Form 8937/Form 1099-DIV reporting</w:t>
      </w:r>
    </w:p>
    <w:p w:rsidR="0069394A" w:rsidRDefault="0069394A" w:rsidP="0069394A">
      <w:pPr>
        <w:pStyle w:val="NoSpacing"/>
        <w:ind w:left="360"/>
      </w:pPr>
      <w:r>
        <w:rPr>
          <w:b/>
        </w:rPr>
        <w:t>Hancock</w:t>
      </w:r>
    </w:p>
    <w:p w:rsidR="00281EDE" w:rsidRDefault="00281EDE" w:rsidP="00445AEF">
      <w:pPr>
        <w:pStyle w:val="NoSpacing"/>
        <w:numPr>
          <w:ilvl w:val="0"/>
          <w:numId w:val="2"/>
        </w:numPr>
      </w:pPr>
      <w:r>
        <w:t>Note regarding basis adjustment to be made to Hancock when investment is liquidated (2009)</w:t>
      </w:r>
    </w:p>
    <w:p w:rsidR="0069394A" w:rsidRPr="0069394A" w:rsidRDefault="0069394A" w:rsidP="0069394A">
      <w:pPr>
        <w:pStyle w:val="NoSpacing"/>
        <w:ind w:left="360"/>
        <w:rPr>
          <w:b/>
        </w:rPr>
      </w:pPr>
      <w:r>
        <w:rPr>
          <w:b/>
        </w:rPr>
        <w:t>OFI/Wellington</w:t>
      </w:r>
    </w:p>
    <w:p w:rsidR="007F62E9" w:rsidRDefault="007F62E9" w:rsidP="00445AEF">
      <w:pPr>
        <w:pStyle w:val="NoSpacing"/>
        <w:numPr>
          <w:ilvl w:val="0"/>
          <w:numId w:val="2"/>
        </w:numPr>
      </w:pPr>
      <w:r>
        <w:t>Discussion regarding adjustments to capital gain/(loss) for managers with K-1 reporting (11/2013)</w:t>
      </w:r>
    </w:p>
    <w:p w:rsidR="0069394A" w:rsidRDefault="0069394A" w:rsidP="0069394A">
      <w:pPr>
        <w:pStyle w:val="NoSpacing"/>
        <w:ind w:left="360"/>
        <w:rPr>
          <w:b/>
        </w:rPr>
      </w:pPr>
      <w:r>
        <w:rPr>
          <w:b/>
        </w:rPr>
        <w:t>Liquidated Investments</w:t>
      </w:r>
    </w:p>
    <w:p w:rsidR="0069394A" w:rsidRDefault="0069394A" w:rsidP="0069394A">
      <w:pPr>
        <w:pStyle w:val="NoSpacing"/>
        <w:numPr>
          <w:ilvl w:val="0"/>
          <w:numId w:val="2"/>
        </w:numPr>
      </w:pPr>
      <w:r>
        <w:t>E-mail regarding reason for HBK investment not providing tax reporting information (1/19/2010)</w:t>
      </w:r>
    </w:p>
    <w:p w:rsidR="0069394A" w:rsidRDefault="0069394A" w:rsidP="0069394A">
      <w:pPr>
        <w:pStyle w:val="NoSpacing"/>
        <w:numPr>
          <w:ilvl w:val="0"/>
          <w:numId w:val="2"/>
        </w:numPr>
      </w:pPr>
      <w:r>
        <w:t xml:space="preserve">Note to file regarding </w:t>
      </w:r>
      <w:proofErr w:type="spellStart"/>
      <w:r>
        <w:t>Urdang</w:t>
      </w:r>
      <w:proofErr w:type="spellEnd"/>
      <w:r>
        <w:t xml:space="preserve"> reporting and income reconciliation (9/29/2011)</w:t>
      </w:r>
    </w:p>
    <w:p w:rsidR="0069394A" w:rsidRPr="0069394A" w:rsidRDefault="0069394A" w:rsidP="0069394A">
      <w:pPr>
        <w:pStyle w:val="NoSpacing"/>
        <w:numPr>
          <w:ilvl w:val="0"/>
          <w:numId w:val="2"/>
        </w:numPr>
      </w:pPr>
      <w:r>
        <w:t xml:space="preserve">Note to file regarding </w:t>
      </w:r>
      <w:proofErr w:type="spellStart"/>
      <w:r>
        <w:t>Urdang</w:t>
      </w:r>
      <w:proofErr w:type="spellEnd"/>
      <w:r>
        <w:t xml:space="preserve"> tax information reporting and cost basis tracking (2/13/2009)</w:t>
      </w:r>
    </w:p>
    <w:p w:rsidR="00F52444" w:rsidRDefault="00F52444" w:rsidP="00F52444">
      <w:pPr>
        <w:pStyle w:val="NoSpacing"/>
        <w:rPr>
          <w:b/>
        </w:rPr>
      </w:pPr>
      <w:r>
        <w:rPr>
          <w:b/>
        </w:rPr>
        <w:lastRenderedPageBreak/>
        <w:t>QEF Reporting</w:t>
      </w:r>
    </w:p>
    <w:p w:rsidR="00F52444" w:rsidRPr="002229B4" w:rsidRDefault="00F52444" w:rsidP="00F52444">
      <w:pPr>
        <w:pStyle w:val="NoSpacing"/>
        <w:numPr>
          <w:ilvl w:val="0"/>
          <w:numId w:val="2"/>
        </w:numPr>
        <w:rPr>
          <w:b/>
        </w:rPr>
      </w:pPr>
      <w:r>
        <w:t xml:space="preserve">E-mail from </w:t>
      </w:r>
      <w:proofErr w:type="spellStart"/>
      <w:r>
        <w:t>Jamshed</w:t>
      </w:r>
      <w:proofErr w:type="spellEnd"/>
      <w:r>
        <w:t xml:space="preserve"> Patel, Foley &amp; Lardner, regarding PFIC rules and QEF reporting, specifically referencing reporting by the Cerberus investment (12/3/2012)</w:t>
      </w:r>
    </w:p>
    <w:p w:rsidR="00F52444" w:rsidRPr="002229B4" w:rsidRDefault="00F52444" w:rsidP="00F52444">
      <w:pPr>
        <w:pStyle w:val="NoSpacing"/>
        <w:numPr>
          <w:ilvl w:val="0"/>
          <w:numId w:val="2"/>
        </w:numPr>
        <w:rPr>
          <w:b/>
        </w:rPr>
      </w:pPr>
      <w:r>
        <w:t>Note to file explaining that Goldman Sachs is no longer willing to provide QEF information for GS Private Equity Partners, GS Capital Partners III, and GS PEP Technology Fund 2000 (10/28/2008)</w:t>
      </w:r>
    </w:p>
    <w:p w:rsidR="00F52444" w:rsidRPr="002229B4" w:rsidRDefault="00F52444" w:rsidP="00F52444">
      <w:pPr>
        <w:pStyle w:val="NoSpacing"/>
        <w:numPr>
          <w:ilvl w:val="0"/>
          <w:numId w:val="2"/>
        </w:numPr>
        <w:rPr>
          <w:b/>
        </w:rPr>
      </w:pPr>
      <w:r>
        <w:t xml:space="preserve">Memorandum from </w:t>
      </w:r>
      <w:proofErr w:type="spellStart"/>
      <w:r>
        <w:t>Jamshed</w:t>
      </w:r>
      <w:proofErr w:type="spellEnd"/>
      <w:r>
        <w:t xml:space="preserve"> Patel, Foley &amp; Lardner, describing tax reporting issues regarding investments in foreign entities (5/28/2004)</w:t>
      </w:r>
    </w:p>
    <w:p w:rsidR="00F52444" w:rsidRPr="002229B4" w:rsidRDefault="00F52444" w:rsidP="00F52444">
      <w:pPr>
        <w:pStyle w:val="NoSpacing"/>
        <w:numPr>
          <w:ilvl w:val="0"/>
          <w:numId w:val="2"/>
        </w:numPr>
        <w:rPr>
          <w:b/>
        </w:rPr>
      </w:pPr>
      <w:r>
        <w:t>Memo to file regarding PFIC Income (6/10/2005)</w:t>
      </w:r>
    </w:p>
    <w:p w:rsidR="00F52444" w:rsidRPr="00445AEF" w:rsidRDefault="00F52444" w:rsidP="00F52444">
      <w:pPr>
        <w:pStyle w:val="NoSpacing"/>
        <w:numPr>
          <w:ilvl w:val="0"/>
          <w:numId w:val="2"/>
        </w:numPr>
        <w:rPr>
          <w:b/>
        </w:rPr>
      </w:pPr>
      <w:r>
        <w:t>Attachment to Form 8621 for GSC European Mezzanine Offshore Capital, L.P. (updated through 2003)</w:t>
      </w:r>
    </w:p>
    <w:p w:rsidR="00F52444" w:rsidRPr="00445AEF" w:rsidRDefault="00F52444" w:rsidP="00F52444">
      <w:pPr>
        <w:pStyle w:val="NoSpacing"/>
        <w:numPr>
          <w:ilvl w:val="0"/>
          <w:numId w:val="2"/>
        </w:numPr>
        <w:rPr>
          <w:b/>
        </w:rPr>
      </w:pPr>
      <w:r>
        <w:t>Attachment to Form 8621 for GSC Recovery Holdings, Inc. (updated through 2003)</w:t>
      </w:r>
    </w:p>
    <w:p w:rsidR="00F52444" w:rsidRPr="00445AEF" w:rsidRDefault="00F52444" w:rsidP="00F52444">
      <w:pPr>
        <w:pStyle w:val="NoSpacing"/>
        <w:numPr>
          <w:ilvl w:val="0"/>
          <w:numId w:val="2"/>
        </w:numPr>
        <w:rPr>
          <w:b/>
        </w:rPr>
      </w:pPr>
      <w:r>
        <w:t>E-mail detailing dividend and income for PFICs related to investment in GS Private Equity Partners (7/20/2004)</w:t>
      </w:r>
    </w:p>
    <w:p w:rsidR="00F52444" w:rsidRDefault="00F52444" w:rsidP="00F52444">
      <w:pPr>
        <w:pStyle w:val="NoSpacing"/>
      </w:pPr>
      <w:r>
        <w:rPr>
          <w:b/>
        </w:rPr>
        <w:t>Other Foreign Reporting</w:t>
      </w:r>
    </w:p>
    <w:p w:rsidR="003645AA" w:rsidRDefault="003645AA" w:rsidP="003645AA">
      <w:pPr>
        <w:pStyle w:val="NoSpacing"/>
        <w:numPr>
          <w:ilvl w:val="0"/>
          <w:numId w:val="2"/>
        </w:numPr>
      </w:pPr>
      <w:r>
        <w:t>Note to file regarding completion of Form 926 when investment fails to provide guidance (2011)</w:t>
      </w:r>
    </w:p>
    <w:p w:rsidR="003645AA" w:rsidRDefault="003645AA" w:rsidP="00F52444">
      <w:pPr>
        <w:pStyle w:val="NoSpacing"/>
        <w:numPr>
          <w:ilvl w:val="0"/>
          <w:numId w:val="2"/>
        </w:numPr>
      </w:pPr>
      <w:r>
        <w:t>E-mail from Deloitte regarding proper completion of Form 926 (9/17/2013)</w:t>
      </w:r>
    </w:p>
    <w:p w:rsidR="00F52444" w:rsidRDefault="00F52444" w:rsidP="00F52444">
      <w:pPr>
        <w:pStyle w:val="NoSpacing"/>
        <w:numPr>
          <w:ilvl w:val="0"/>
          <w:numId w:val="2"/>
        </w:numPr>
      </w:pPr>
      <w:r>
        <w:t xml:space="preserve">E-mail correspondence with </w:t>
      </w:r>
      <w:proofErr w:type="spellStart"/>
      <w:r>
        <w:t>Jamshed</w:t>
      </w:r>
      <w:proofErr w:type="spellEnd"/>
      <w:r>
        <w:t xml:space="preserve"> Patel regarding filing of Forms 926 and 8865 (10/21/2015)</w:t>
      </w:r>
    </w:p>
    <w:p w:rsidR="00F52444" w:rsidRDefault="00F52444" w:rsidP="00F52444">
      <w:pPr>
        <w:pStyle w:val="NoSpacing"/>
        <w:numPr>
          <w:ilvl w:val="0"/>
          <w:numId w:val="2"/>
        </w:numPr>
      </w:pPr>
      <w:r>
        <w:t xml:space="preserve">E-mail from </w:t>
      </w:r>
      <w:proofErr w:type="spellStart"/>
      <w:r>
        <w:t>Jamshed</w:t>
      </w:r>
      <w:proofErr w:type="spellEnd"/>
      <w:r>
        <w:t xml:space="preserve"> Patel regarding Form 8858 (10/13/2014)</w:t>
      </w:r>
    </w:p>
    <w:p w:rsidR="00F52444" w:rsidRDefault="00F52444" w:rsidP="00F52444">
      <w:pPr>
        <w:pStyle w:val="NoSpacing"/>
        <w:numPr>
          <w:ilvl w:val="0"/>
          <w:numId w:val="2"/>
        </w:numPr>
      </w:pPr>
      <w:r>
        <w:t>Note to file regarding inapplicability of Form 8938 filing requirement for the 2011 tax year</w:t>
      </w:r>
    </w:p>
    <w:p w:rsidR="003645AA" w:rsidRDefault="003645AA" w:rsidP="003645AA">
      <w:pPr>
        <w:pStyle w:val="NoSpacing"/>
        <w:rPr>
          <w:b/>
        </w:rPr>
      </w:pPr>
      <w:r w:rsidRPr="003645AA">
        <w:rPr>
          <w:b/>
        </w:rPr>
        <w:t>Other Additional Tax Reporting</w:t>
      </w:r>
    </w:p>
    <w:p w:rsidR="003645AA" w:rsidRPr="003645AA" w:rsidRDefault="003645AA" w:rsidP="003645AA">
      <w:pPr>
        <w:pStyle w:val="NoSpacing"/>
        <w:numPr>
          <w:ilvl w:val="0"/>
          <w:numId w:val="2"/>
        </w:numPr>
        <w:rPr>
          <w:b/>
        </w:rPr>
      </w:pPr>
      <w:r>
        <w:t>Form 8937 summary</w:t>
      </w:r>
    </w:p>
    <w:p w:rsidR="00F52444" w:rsidRDefault="00F52444" w:rsidP="00F52444">
      <w:pPr>
        <w:pStyle w:val="NoSpacing"/>
        <w:rPr>
          <w:b/>
        </w:rPr>
      </w:pPr>
      <w:r>
        <w:rPr>
          <w:b/>
        </w:rPr>
        <w:t>Foreign Taxes</w:t>
      </w:r>
    </w:p>
    <w:p w:rsidR="003645AA" w:rsidRDefault="00F52444" w:rsidP="003645AA">
      <w:pPr>
        <w:pStyle w:val="NoSpacing"/>
        <w:numPr>
          <w:ilvl w:val="0"/>
          <w:numId w:val="2"/>
        </w:numPr>
        <w:rPr>
          <w:b/>
        </w:rPr>
      </w:pPr>
      <w:r>
        <w:t>E-mail from Rachel Becker, Deloitte Tax LLP, regarding form filing to report foreign taxes paid (10/12/2007)</w:t>
      </w:r>
    </w:p>
    <w:p w:rsidR="003645AA" w:rsidRDefault="003645AA" w:rsidP="003645AA">
      <w:pPr>
        <w:pStyle w:val="NoSpacing"/>
        <w:rPr>
          <w:b/>
        </w:rPr>
      </w:pPr>
      <w:r>
        <w:rPr>
          <w:b/>
        </w:rPr>
        <w:t>990-T</w:t>
      </w:r>
    </w:p>
    <w:p w:rsidR="003645AA" w:rsidRDefault="003645AA" w:rsidP="003645AA">
      <w:pPr>
        <w:pStyle w:val="NoSpacing"/>
        <w:numPr>
          <w:ilvl w:val="0"/>
          <w:numId w:val="2"/>
        </w:numPr>
      </w:pPr>
      <w:r>
        <w:t>Revised AMT net operating loss schedule for year ended 12/31/2011 with explanation</w:t>
      </w:r>
    </w:p>
    <w:p w:rsidR="003645AA" w:rsidRDefault="003645AA" w:rsidP="003645AA">
      <w:pPr>
        <w:pStyle w:val="NoSpacing"/>
        <w:numPr>
          <w:ilvl w:val="0"/>
          <w:numId w:val="2"/>
        </w:numPr>
      </w:pPr>
      <w:r>
        <w:t>Memo regarding IRS examination of Foundation’s claim for refund of carryback claim on Form 990-T (4/30/2009)</w:t>
      </w:r>
    </w:p>
    <w:p w:rsidR="003645AA" w:rsidRDefault="003645AA" w:rsidP="003645AA">
      <w:pPr>
        <w:pStyle w:val="NoSpacing"/>
        <w:numPr>
          <w:ilvl w:val="0"/>
          <w:numId w:val="2"/>
        </w:numPr>
      </w:pPr>
      <w:r>
        <w:t>IRS Examination correspondence related to carryback claim on Form 990-T (4/8/2009)</w:t>
      </w:r>
    </w:p>
    <w:p w:rsidR="003645AA" w:rsidRDefault="003645AA" w:rsidP="003645AA">
      <w:pPr>
        <w:pStyle w:val="NoSpacing"/>
        <w:numPr>
          <w:ilvl w:val="0"/>
          <w:numId w:val="2"/>
        </w:numPr>
      </w:pPr>
      <w:r>
        <w:t>Request from Department of Treasury to complete survey related to IRS examination (11/20/2009)</w:t>
      </w:r>
    </w:p>
    <w:p w:rsidR="003645AA" w:rsidRDefault="003645AA" w:rsidP="003645AA">
      <w:pPr>
        <w:pStyle w:val="NoSpacing"/>
        <w:numPr>
          <w:ilvl w:val="0"/>
          <w:numId w:val="2"/>
        </w:numPr>
      </w:pPr>
      <w:r>
        <w:t>Correspondence from John Woodhull, KPMG, regarding ability of Foundation to use current net operating losses as a carryback against prior year income (11/10/2002)</w:t>
      </w:r>
    </w:p>
    <w:p w:rsidR="003645AA" w:rsidRDefault="003645AA" w:rsidP="003645AA">
      <w:pPr>
        <w:pStyle w:val="NoSpacing"/>
        <w:rPr>
          <w:b/>
        </w:rPr>
      </w:pPr>
      <w:r>
        <w:rPr>
          <w:b/>
        </w:rPr>
        <w:t>UBTI</w:t>
      </w:r>
    </w:p>
    <w:p w:rsidR="003645AA" w:rsidRDefault="003645AA" w:rsidP="003645AA">
      <w:pPr>
        <w:pStyle w:val="NoSpacing"/>
        <w:numPr>
          <w:ilvl w:val="0"/>
          <w:numId w:val="2"/>
        </w:numPr>
      </w:pPr>
      <w:r>
        <w:t>Discussion of UBTI and private equity fund debt (2014)</w:t>
      </w:r>
      <w:r w:rsidRPr="00F52444">
        <w:t xml:space="preserve"> </w:t>
      </w:r>
    </w:p>
    <w:p w:rsidR="003645AA" w:rsidRPr="00000970" w:rsidRDefault="003645AA" w:rsidP="003645AA">
      <w:pPr>
        <w:pStyle w:val="NoSpacing"/>
        <w:numPr>
          <w:ilvl w:val="0"/>
          <w:numId w:val="2"/>
        </w:numPr>
      </w:pPr>
      <w:r>
        <w:t>E-mail from Rachel Becker, Deloitte Tax LLP, regarding reporting of partnership UBTI activity on Form 990-T (10/11/2007)</w:t>
      </w:r>
    </w:p>
    <w:p w:rsidR="003645AA" w:rsidRDefault="003645AA" w:rsidP="003645AA">
      <w:pPr>
        <w:pStyle w:val="NoSpacing"/>
        <w:rPr>
          <w:b/>
        </w:rPr>
      </w:pPr>
      <w:r>
        <w:rPr>
          <w:b/>
        </w:rPr>
        <w:t>Section 199/DPAD</w:t>
      </w:r>
    </w:p>
    <w:p w:rsidR="003645AA" w:rsidRDefault="003645AA" w:rsidP="003645AA">
      <w:pPr>
        <w:pStyle w:val="NoSpacing"/>
        <w:numPr>
          <w:ilvl w:val="0"/>
          <w:numId w:val="2"/>
        </w:numPr>
      </w:pPr>
      <w:r>
        <w:t>Note to file regarding Domestic Production Activities Information and steps to help determine when/whether additional work related to DPAD disclosures might need to be completed. (2011)</w:t>
      </w:r>
    </w:p>
    <w:p w:rsidR="003645AA" w:rsidRDefault="003645AA" w:rsidP="003645AA">
      <w:pPr>
        <w:pStyle w:val="NoSpacing"/>
        <w:numPr>
          <w:ilvl w:val="0"/>
          <w:numId w:val="2"/>
        </w:numPr>
      </w:pPr>
      <w:r>
        <w:t>Copy of 2008 Form 8903, form instructions, correspondence, and note regarding why form was not filed</w:t>
      </w:r>
    </w:p>
    <w:p w:rsidR="001E01CD" w:rsidRPr="00573E5B" w:rsidRDefault="001E01CD" w:rsidP="001E01CD">
      <w:pPr>
        <w:pStyle w:val="NoSpacing"/>
        <w:rPr>
          <w:b/>
        </w:rPr>
      </w:pPr>
      <w:r>
        <w:rPr>
          <w:b/>
        </w:rPr>
        <w:t>NAV</w:t>
      </w:r>
    </w:p>
    <w:p w:rsidR="001E01CD" w:rsidRDefault="001E01CD" w:rsidP="001E01CD">
      <w:pPr>
        <w:pStyle w:val="NoSpacing"/>
        <w:numPr>
          <w:ilvl w:val="0"/>
          <w:numId w:val="2"/>
        </w:numPr>
      </w:pPr>
      <w:r>
        <w:t>Memo to file regarding net asset value of alternative investments (1/12/2004)</w:t>
      </w:r>
    </w:p>
    <w:p w:rsidR="003645AA" w:rsidRDefault="003645AA" w:rsidP="003645AA">
      <w:pPr>
        <w:pStyle w:val="NoSpacing"/>
        <w:ind w:left="720"/>
      </w:pPr>
    </w:p>
    <w:p w:rsidR="003645AA" w:rsidRDefault="003645AA" w:rsidP="003645AA">
      <w:pPr>
        <w:pStyle w:val="NoSpacing"/>
        <w:ind w:left="720"/>
      </w:pPr>
    </w:p>
    <w:p w:rsidR="003645AA" w:rsidRDefault="003645AA" w:rsidP="003645AA">
      <w:pPr>
        <w:pStyle w:val="NoSpacing"/>
        <w:ind w:left="720"/>
      </w:pPr>
    </w:p>
    <w:p w:rsidR="003645AA" w:rsidRDefault="003645AA" w:rsidP="003645AA">
      <w:pPr>
        <w:pStyle w:val="NoSpacing"/>
        <w:rPr>
          <w:b/>
          <w:sz w:val="28"/>
          <w:szCs w:val="28"/>
        </w:rPr>
      </w:pPr>
      <w:r>
        <w:rPr>
          <w:b/>
          <w:sz w:val="28"/>
          <w:szCs w:val="28"/>
        </w:rPr>
        <w:lastRenderedPageBreak/>
        <w:t>BINDER 2</w:t>
      </w:r>
    </w:p>
    <w:p w:rsidR="003645AA" w:rsidRDefault="003645AA" w:rsidP="003645AA">
      <w:pPr>
        <w:pStyle w:val="NoSpacing"/>
      </w:pPr>
    </w:p>
    <w:p w:rsidR="001E01CD" w:rsidRDefault="001E01CD" w:rsidP="003645AA">
      <w:pPr>
        <w:pStyle w:val="NoSpacing"/>
        <w:rPr>
          <w:b/>
        </w:rPr>
      </w:pPr>
      <w:r>
        <w:rPr>
          <w:b/>
        </w:rPr>
        <w:t>Miscellaneous Form 990-PF</w:t>
      </w:r>
    </w:p>
    <w:p w:rsidR="001E01CD" w:rsidRPr="001E01CD" w:rsidRDefault="001E01CD" w:rsidP="00C53DF4">
      <w:pPr>
        <w:pStyle w:val="NoSpacing"/>
        <w:numPr>
          <w:ilvl w:val="0"/>
          <w:numId w:val="2"/>
        </w:numPr>
        <w:rPr>
          <w:b/>
        </w:rPr>
      </w:pPr>
      <w:r>
        <w:t>Federal Tax Regulations, Regulation 53.4940-1, Excise tax on net investment income</w:t>
      </w:r>
    </w:p>
    <w:p w:rsidR="001E01CD" w:rsidRDefault="001E01CD" w:rsidP="001E01CD">
      <w:pPr>
        <w:pStyle w:val="NoSpacing"/>
        <w:numPr>
          <w:ilvl w:val="0"/>
          <w:numId w:val="2"/>
        </w:numPr>
      </w:pPr>
      <w:r>
        <w:t>E-mail from Mike Grebe regarding estimation of director time</w:t>
      </w:r>
      <w:r w:rsidRPr="001E01CD">
        <w:t xml:space="preserve"> </w:t>
      </w:r>
    </w:p>
    <w:p w:rsidR="001E01CD" w:rsidRPr="001E01CD" w:rsidRDefault="001E01CD" w:rsidP="001E01CD">
      <w:pPr>
        <w:pStyle w:val="NoSpacing"/>
        <w:numPr>
          <w:ilvl w:val="0"/>
          <w:numId w:val="2"/>
        </w:numPr>
      </w:pPr>
      <w:r>
        <w:t>E-mail from T. Famer regarding estimate of M. Grebe’s time to include on Form 990-PF (11/3/2004)</w:t>
      </w:r>
    </w:p>
    <w:p w:rsidR="003645AA" w:rsidRDefault="003645AA" w:rsidP="003645AA">
      <w:pPr>
        <w:pStyle w:val="NoSpacing"/>
        <w:rPr>
          <w:b/>
        </w:rPr>
      </w:pPr>
      <w:r>
        <w:rPr>
          <w:b/>
        </w:rPr>
        <w:t>50% M&amp;E</w:t>
      </w:r>
    </w:p>
    <w:p w:rsidR="003645AA" w:rsidRDefault="003645AA" w:rsidP="003645AA">
      <w:pPr>
        <w:pStyle w:val="NoSpacing"/>
        <w:numPr>
          <w:ilvl w:val="0"/>
          <w:numId w:val="2"/>
        </w:numPr>
      </w:pPr>
      <w:r>
        <w:t>Memorandum discussing 50% limitation rule on meals &amp; entertainment expenses and possible IRS application of the rule to Foundation expenses  (11/7/2012)</w:t>
      </w:r>
    </w:p>
    <w:p w:rsidR="003645AA" w:rsidRDefault="003645AA" w:rsidP="003645AA">
      <w:pPr>
        <w:pStyle w:val="NoSpacing"/>
        <w:numPr>
          <w:ilvl w:val="0"/>
          <w:numId w:val="2"/>
        </w:numPr>
      </w:pPr>
      <w:r>
        <w:t xml:space="preserve"> 2011 Analysis of Meals and Entertainment Expenses</w:t>
      </w:r>
    </w:p>
    <w:p w:rsidR="003645AA" w:rsidRDefault="003645AA" w:rsidP="003645AA">
      <w:pPr>
        <w:pStyle w:val="NoSpacing"/>
        <w:numPr>
          <w:ilvl w:val="0"/>
          <w:numId w:val="2"/>
        </w:numPr>
      </w:pPr>
      <w:r>
        <w:t>Pages from Publication 535 discussing travel, meals, and entertainment expenses, as well as club dues and membership fees</w:t>
      </w:r>
    </w:p>
    <w:p w:rsidR="003645AA" w:rsidRDefault="003645AA" w:rsidP="003645AA">
      <w:pPr>
        <w:pStyle w:val="NoSpacing"/>
        <w:numPr>
          <w:ilvl w:val="0"/>
          <w:numId w:val="2"/>
        </w:numPr>
      </w:pPr>
      <w:r>
        <w:t>Copy of Federal Tax Regulations §1.274-2 regarding disallowance of deductions for certain expenses for entertainment, amusement, recreation, or travel</w:t>
      </w:r>
    </w:p>
    <w:p w:rsidR="003645AA" w:rsidRDefault="003645AA" w:rsidP="003645AA">
      <w:pPr>
        <w:pStyle w:val="NoSpacing"/>
        <w:rPr>
          <w:b/>
        </w:rPr>
      </w:pPr>
      <w:r>
        <w:rPr>
          <w:b/>
        </w:rPr>
        <w:t>Contributions</w:t>
      </w:r>
    </w:p>
    <w:p w:rsidR="003645AA" w:rsidRDefault="003645AA" w:rsidP="003645AA">
      <w:pPr>
        <w:pStyle w:val="NoSpacing"/>
        <w:numPr>
          <w:ilvl w:val="0"/>
          <w:numId w:val="2"/>
        </w:numPr>
      </w:pPr>
      <w:r>
        <w:t>Letter to Mr. and Mrs. Michael Keiser regarding 2003 contribution (4/7/2004)</w:t>
      </w:r>
    </w:p>
    <w:p w:rsidR="003645AA" w:rsidRDefault="003645AA" w:rsidP="003645AA">
      <w:pPr>
        <w:pStyle w:val="NoSpacing"/>
        <w:numPr>
          <w:ilvl w:val="0"/>
          <w:numId w:val="2"/>
        </w:numPr>
      </w:pPr>
      <w:r>
        <w:t>E-mail from Richard Gallagher, Foley &amp; Lardner, regarding reporting of contributions made to the Foundation (7/16/2003)</w:t>
      </w:r>
    </w:p>
    <w:p w:rsidR="00F52444" w:rsidRDefault="00F52444" w:rsidP="00F52444">
      <w:pPr>
        <w:pStyle w:val="NoSpacing"/>
        <w:rPr>
          <w:b/>
        </w:rPr>
      </w:pPr>
      <w:r>
        <w:rPr>
          <w:b/>
        </w:rPr>
        <w:t>Grants</w:t>
      </w:r>
    </w:p>
    <w:p w:rsidR="00F52444" w:rsidRPr="00F52444" w:rsidRDefault="00F52444" w:rsidP="00F52444">
      <w:pPr>
        <w:pStyle w:val="NoSpacing"/>
        <w:numPr>
          <w:ilvl w:val="0"/>
          <w:numId w:val="2"/>
        </w:numPr>
      </w:pPr>
      <w:r>
        <w:t>Draft attachment to Form 990-PF describing purpose of contribution to Donor Advised Fund</w:t>
      </w:r>
    </w:p>
    <w:p w:rsidR="00281EDE" w:rsidRDefault="00281EDE" w:rsidP="00281EDE">
      <w:pPr>
        <w:pStyle w:val="NoSpacing"/>
        <w:numPr>
          <w:ilvl w:val="0"/>
          <w:numId w:val="2"/>
        </w:numPr>
      </w:pPr>
      <w:r>
        <w:t>E-mail from Marsha Huff, Foley &amp; Lardner, regarding adjustments to be made to the expenditure accounting attachment to the Form 990-PF (11/13/2007)</w:t>
      </w:r>
    </w:p>
    <w:p w:rsidR="001E01CD" w:rsidRDefault="001E01CD" w:rsidP="00281EDE">
      <w:pPr>
        <w:pStyle w:val="NoSpacing"/>
        <w:numPr>
          <w:ilvl w:val="0"/>
          <w:numId w:val="2"/>
        </w:numPr>
      </w:pPr>
      <w:r>
        <w:t>Documentation to support distributions out of corpus from Encounter 2008 - 2012</w:t>
      </w:r>
    </w:p>
    <w:p w:rsidR="00F52444" w:rsidRDefault="00F52444" w:rsidP="00F52444">
      <w:pPr>
        <w:pStyle w:val="NoSpacing"/>
        <w:rPr>
          <w:b/>
        </w:rPr>
      </w:pPr>
      <w:r>
        <w:rPr>
          <w:b/>
        </w:rPr>
        <w:t>Amended Returns</w:t>
      </w:r>
    </w:p>
    <w:p w:rsidR="00F52444" w:rsidRDefault="00F52444" w:rsidP="00F52444">
      <w:pPr>
        <w:pStyle w:val="NoSpacing"/>
        <w:numPr>
          <w:ilvl w:val="0"/>
          <w:numId w:val="2"/>
        </w:numPr>
      </w:pPr>
      <w:r>
        <w:t>Summary of amended 990-PF tax returns (2000 – 2006)</w:t>
      </w:r>
    </w:p>
    <w:p w:rsidR="00F52444" w:rsidRDefault="00F52444" w:rsidP="00F52444">
      <w:pPr>
        <w:pStyle w:val="NoSpacing"/>
        <w:numPr>
          <w:ilvl w:val="0"/>
          <w:numId w:val="2"/>
        </w:numPr>
      </w:pPr>
      <w:r>
        <w:t>Amended 990-PF PFIC adjustments (2000 – 2006)</w:t>
      </w:r>
    </w:p>
    <w:p w:rsidR="00F52444" w:rsidRDefault="00F52444" w:rsidP="00F52444">
      <w:pPr>
        <w:pStyle w:val="NoSpacing"/>
        <w:rPr>
          <w:b/>
        </w:rPr>
      </w:pPr>
      <w:r>
        <w:rPr>
          <w:b/>
        </w:rPr>
        <w:t>E-Filing</w:t>
      </w:r>
    </w:p>
    <w:p w:rsidR="00F52444" w:rsidRDefault="00F52444" w:rsidP="00F52444">
      <w:pPr>
        <w:pStyle w:val="NoSpacing"/>
        <w:numPr>
          <w:ilvl w:val="0"/>
          <w:numId w:val="2"/>
        </w:numPr>
      </w:pPr>
      <w:r>
        <w:t>E-mail from Rachel Becker, Deloitte Tax, regarding E-Filing requirement (9/24/2007)</w:t>
      </w:r>
    </w:p>
    <w:p w:rsidR="00F52444" w:rsidRDefault="00F52444" w:rsidP="00F52444">
      <w:pPr>
        <w:pStyle w:val="NoSpacing"/>
      </w:pPr>
      <w:r>
        <w:rPr>
          <w:b/>
        </w:rPr>
        <w:t>Public Inspection</w:t>
      </w:r>
    </w:p>
    <w:p w:rsidR="00F52444" w:rsidRDefault="00F52444" w:rsidP="00F52444">
      <w:pPr>
        <w:pStyle w:val="NoSpacing"/>
        <w:numPr>
          <w:ilvl w:val="0"/>
          <w:numId w:val="2"/>
        </w:numPr>
      </w:pPr>
      <w:r>
        <w:t>Memo to tax file regarding requirement of Foundation to publish a public notice that the Foundation has filed its tax returns (1/8/2008)</w:t>
      </w:r>
    </w:p>
    <w:p w:rsidR="00F52444" w:rsidRDefault="00F52444" w:rsidP="00F52444">
      <w:pPr>
        <w:pStyle w:val="NoSpacing"/>
        <w:numPr>
          <w:ilvl w:val="0"/>
          <w:numId w:val="2"/>
        </w:numPr>
      </w:pPr>
      <w:r>
        <w:t>E-Mail from Richard Gallagher, Foley &amp; Lardner, regarding Form 990-T public disclosure requirements (1/4/2008)</w:t>
      </w:r>
    </w:p>
    <w:p w:rsidR="00F52444" w:rsidRDefault="00F52444" w:rsidP="00F52444">
      <w:pPr>
        <w:pStyle w:val="NoSpacing"/>
        <w:numPr>
          <w:ilvl w:val="0"/>
          <w:numId w:val="2"/>
        </w:numPr>
      </w:pPr>
      <w:r>
        <w:t>Interim guidance on new public inspection rule for Form 990-T (5/10/2007)</w:t>
      </w:r>
    </w:p>
    <w:p w:rsidR="00F52444" w:rsidRDefault="00F52444" w:rsidP="00F52444">
      <w:pPr>
        <w:pStyle w:val="NoSpacing"/>
      </w:pPr>
      <w:r>
        <w:rPr>
          <w:b/>
        </w:rPr>
        <w:t>Compensation</w:t>
      </w:r>
    </w:p>
    <w:p w:rsidR="00F52444" w:rsidRDefault="00F52444" w:rsidP="00F52444">
      <w:pPr>
        <w:pStyle w:val="NoSpacing"/>
        <w:numPr>
          <w:ilvl w:val="0"/>
          <w:numId w:val="2"/>
        </w:numPr>
      </w:pPr>
      <w:r>
        <w:t>E-mail from Richard Gallagher, Foley &amp; Lardner, regarding compensation schedule on 2004 Form 990-PF (11/11/2005)</w:t>
      </w:r>
    </w:p>
    <w:p w:rsidR="00F52444" w:rsidRDefault="00F52444" w:rsidP="00F52444">
      <w:pPr>
        <w:pStyle w:val="NoSpacing"/>
      </w:pPr>
      <w:r w:rsidRPr="00FD3FB9">
        <w:rPr>
          <w:b/>
        </w:rPr>
        <w:t>Retirement Plans</w:t>
      </w:r>
    </w:p>
    <w:p w:rsidR="00F52444" w:rsidRDefault="00F52444" w:rsidP="00F52444">
      <w:pPr>
        <w:pStyle w:val="NoSpacing"/>
        <w:numPr>
          <w:ilvl w:val="0"/>
          <w:numId w:val="2"/>
        </w:numPr>
      </w:pPr>
      <w:r>
        <w:t>E-mail from Lloyd Dickinson, Foley &amp; Lardner, regarding 403(b) rules (9/12/2007)</w:t>
      </w:r>
    </w:p>
    <w:p w:rsidR="00F52444" w:rsidRDefault="00F52444" w:rsidP="00F52444">
      <w:pPr>
        <w:pStyle w:val="NoSpacing"/>
        <w:numPr>
          <w:ilvl w:val="0"/>
          <w:numId w:val="2"/>
        </w:numPr>
      </w:pPr>
      <w:r>
        <w:t>Article from Wall Street Journal regarding Retirement Plan Control (5/22/2007)</w:t>
      </w:r>
    </w:p>
    <w:p w:rsidR="00F52444" w:rsidRDefault="00F52444" w:rsidP="00F52444">
      <w:pPr>
        <w:pStyle w:val="NoSpacing"/>
        <w:numPr>
          <w:ilvl w:val="0"/>
          <w:numId w:val="2"/>
        </w:numPr>
      </w:pPr>
      <w:r>
        <w:t>E-mails from Lloyd Dickinson, Foley &amp; Lardner, regarding M. Grebe’s contract and retention bonus (9/12/2007)</w:t>
      </w:r>
    </w:p>
    <w:p w:rsidR="00F52444" w:rsidRDefault="00F52444" w:rsidP="00F52444">
      <w:pPr>
        <w:pStyle w:val="NoSpacing"/>
        <w:numPr>
          <w:ilvl w:val="0"/>
          <w:numId w:val="2"/>
        </w:numPr>
      </w:pPr>
      <w:r>
        <w:t>E-mail from B. Morgan, Foley &amp; Lardner, regarding compensation for SEP contribution (1/10/2007)</w:t>
      </w:r>
    </w:p>
    <w:p w:rsidR="00F52444" w:rsidRDefault="00F52444" w:rsidP="00F52444">
      <w:pPr>
        <w:pStyle w:val="NoSpacing"/>
        <w:numPr>
          <w:ilvl w:val="0"/>
          <w:numId w:val="2"/>
        </w:numPr>
      </w:pPr>
      <w:r>
        <w:t>Memo regarding Section 409(A) Inclusion in Gross Income of Deferred Compensation Under Non-Qualified Deferred Compensation (1/4/2005)</w:t>
      </w:r>
    </w:p>
    <w:p w:rsidR="00F52444" w:rsidRDefault="00F52444" w:rsidP="00F52444">
      <w:pPr>
        <w:pStyle w:val="NoSpacing"/>
      </w:pPr>
      <w:r>
        <w:rPr>
          <w:b/>
        </w:rPr>
        <w:lastRenderedPageBreak/>
        <w:t>Self-Dealing</w:t>
      </w:r>
    </w:p>
    <w:p w:rsidR="00F52444" w:rsidRDefault="00F52444" w:rsidP="00F52444">
      <w:pPr>
        <w:pStyle w:val="NoSpacing"/>
        <w:numPr>
          <w:ilvl w:val="0"/>
          <w:numId w:val="2"/>
        </w:numPr>
      </w:pPr>
      <w:r>
        <w:t>Correspondence from Foley &amp; Lardner regarding purchasing tables and tickets to grantee fundraising events (11/2/2001)</w:t>
      </w:r>
    </w:p>
    <w:p w:rsidR="00F52444" w:rsidRDefault="00F52444" w:rsidP="00F52444">
      <w:pPr>
        <w:pStyle w:val="NoSpacing"/>
        <w:numPr>
          <w:ilvl w:val="0"/>
          <w:numId w:val="2"/>
        </w:numPr>
      </w:pPr>
      <w:r>
        <w:t xml:space="preserve">Correspondence from Foley &amp; Lardner regarding hiring of David </w:t>
      </w:r>
      <w:proofErr w:type="spellStart"/>
      <w:r>
        <w:t>Uihlein</w:t>
      </w:r>
      <w:proofErr w:type="spellEnd"/>
      <w:r>
        <w:t xml:space="preserve"> as architect on </w:t>
      </w:r>
      <w:proofErr w:type="spellStart"/>
      <w:r>
        <w:t>Bloodgood</w:t>
      </w:r>
      <w:proofErr w:type="spellEnd"/>
      <w:r>
        <w:t xml:space="preserve"> House renovation project (7/15/2011)</w:t>
      </w:r>
    </w:p>
    <w:p w:rsidR="00F52444" w:rsidRDefault="00F52444" w:rsidP="00F52444">
      <w:pPr>
        <w:pStyle w:val="NoSpacing"/>
        <w:numPr>
          <w:ilvl w:val="0"/>
          <w:numId w:val="2"/>
        </w:numPr>
      </w:pPr>
      <w:r>
        <w:t xml:space="preserve">Correspondence from Foley &amp; Lardner regarding hiring of David </w:t>
      </w:r>
      <w:proofErr w:type="spellStart"/>
      <w:r>
        <w:t>Uihlein</w:t>
      </w:r>
      <w:proofErr w:type="spellEnd"/>
      <w:r>
        <w:t xml:space="preserve"> as architect on Hawley House renovation project (5/19/1999)</w:t>
      </w:r>
    </w:p>
    <w:p w:rsidR="00F52444" w:rsidRDefault="00F52444" w:rsidP="00F52444">
      <w:pPr>
        <w:pStyle w:val="NoSpacing"/>
      </w:pPr>
      <w:r>
        <w:rPr>
          <w:b/>
        </w:rPr>
        <w:t>Influencing Legislation</w:t>
      </w:r>
    </w:p>
    <w:p w:rsidR="00F52444" w:rsidRDefault="00F52444" w:rsidP="00F52444">
      <w:pPr>
        <w:pStyle w:val="NoSpacing"/>
        <w:numPr>
          <w:ilvl w:val="0"/>
          <w:numId w:val="2"/>
        </w:numPr>
      </w:pPr>
      <w:r>
        <w:t>E-mail from Richard Gallagher, Foley &amp; Lardner, regarding question on Form 990-PF regarding influencing legislation (8/29/2006)</w:t>
      </w:r>
    </w:p>
    <w:p w:rsidR="00F52444" w:rsidRDefault="00F52444" w:rsidP="00F52444">
      <w:pPr>
        <w:pStyle w:val="NoSpacing"/>
        <w:numPr>
          <w:ilvl w:val="0"/>
          <w:numId w:val="2"/>
        </w:numPr>
      </w:pPr>
      <w:r>
        <w:t>Notes regarding WICPA dues deductibility (5/27/2004)</w:t>
      </w:r>
    </w:p>
    <w:p w:rsidR="002330FF" w:rsidRDefault="002330FF" w:rsidP="00FD3FB9">
      <w:pPr>
        <w:pStyle w:val="NoSpacing"/>
        <w:rPr>
          <w:b/>
        </w:rPr>
      </w:pPr>
      <w:r>
        <w:rPr>
          <w:b/>
        </w:rPr>
        <w:t>States</w:t>
      </w:r>
    </w:p>
    <w:p w:rsidR="00FD3FB9" w:rsidRDefault="00FD3FB9" w:rsidP="002330FF">
      <w:pPr>
        <w:pStyle w:val="NoSpacing"/>
        <w:ind w:firstLine="360"/>
      </w:pPr>
      <w:r>
        <w:rPr>
          <w:b/>
        </w:rPr>
        <w:t>California</w:t>
      </w:r>
    </w:p>
    <w:p w:rsidR="00FD3FB9" w:rsidRDefault="00FD3FB9" w:rsidP="002330FF">
      <w:pPr>
        <w:pStyle w:val="NoSpacing"/>
        <w:numPr>
          <w:ilvl w:val="0"/>
          <w:numId w:val="2"/>
        </w:numPr>
      </w:pPr>
      <w:r>
        <w:t xml:space="preserve"> E-mail from Richard Gallagher, Foley &amp; Lardner, regarding California registration requirement (11/29/2006)</w:t>
      </w:r>
    </w:p>
    <w:p w:rsidR="002330FF" w:rsidRDefault="002330FF" w:rsidP="002330FF">
      <w:pPr>
        <w:pStyle w:val="NoSpacing"/>
        <w:ind w:left="360"/>
        <w:rPr>
          <w:b/>
        </w:rPr>
      </w:pPr>
      <w:r w:rsidRPr="002330FF">
        <w:rPr>
          <w:b/>
        </w:rPr>
        <w:t>Florida</w:t>
      </w:r>
    </w:p>
    <w:p w:rsidR="002330FF" w:rsidRDefault="002330FF" w:rsidP="002330FF">
      <w:pPr>
        <w:pStyle w:val="NoSpacing"/>
        <w:numPr>
          <w:ilvl w:val="0"/>
          <w:numId w:val="2"/>
        </w:numPr>
      </w:pPr>
      <w:r w:rsidRPr="002330FF">
        <w:t>Notes regarding timing</w:t>
      </w:r>
      <w:r>
        <w:t xml:space="preserve"> of filing/extension based on discussion with Florida Department of Revenue regarding 2011 return (4/17/2013)</w:t>
      </w:r>
      <w:r w:rsidRPr="002330FF">
        <w:t xml:space="preserve"> </w:t>
      </w:r>
    </w:p>
    <w:p w:rsidR="0069394A" w:rsidRDefault="0069394A" w:rsidP="0069394A">
      <w:pPr>
        <w:pStyle w:val="NoSpacing"/>
        <w:ind w:left="360"/>
        <w:rPr>
          <w:b/>
        </w:rPr>
      </w:pPr>
      <w:r w:rsidRPr="0069394A">
        <w:rPr>
          <w:b/>
        </w:rPr>
        <w:t>Maryland</w:t>
      </w:r>
    </w:p>
    <w:p w:rsidR="0069394A" w:rsidRPr="0069394A" w:rsidRDefault="0069394A" w:rsidP="0069394A">
      <w:pPr>
        <w:pStyle w:val="NoSpacing"/>
        <w:numPr>
          <w:ilvl w:val="0"/>
          <w:numId w:val="2"/>
        </w:numPr>
        <w:rPr>
          <w:b/>
        </w:rPr>
      </w:pPr>
      <w:r>
        <w:t>E-mail correspondence with Deloitte regarding NOL carryback/carryforward rules (11/20/2014)</w:t>
      </w:r>
    </w:p>
    <w:p w:rsidR="00FD3FB9" w:rsidRDefault="00FD3FB9" w:rsidP="002330FF">
      <w:pPr>
        <w:pStyle w:val="NoSpacing"/>
        <w:ind w:firstLine="360"/>
      </w:pPr>
      <w:r>
        <w:rPr>
          <w:b/>
        </w:rPr>
        <w:t>Ohio CAT</w:t>
      </w:r>
    </w:p>
    <w:p w:rsidR="0069394A" w:rsidRDefault="00FD3FB9" w:rsidP="0069394A">
      <w:pPr>
        <w:pStyle w:val="NoSpacing"/>
        <w:numPr>
          <w:ilvl w:val="0"/>
          <w:numId w:val="2"/>
        </w:numPr>
      </w:pPr>
      <w:r>
        <w:t>Notes regarding Foundation exemption from Ohio CAT (1/17/2007)</w:t>
      </w:r>
    </w:p>
    <w:p w:rsidR="0069394A" w:rsidRDefault="0069394A" w:rsidP="0069394A">
      <w:pPr>
        <w:pStyle w:val="NoSpacing"/>
        <w:ind w:left="360"/>
      </w:pPr>
      <w:r>
        <w:rPr>
          <w:b/>
        </w:rPr>
        <w:t>Virginia</w:t>
      </w:r>
    </w:p>
    <w:p w:rsidR="0069394A" w:rsidRDefault="0069394A" w:rsidP="0069394A">
      <w:pPr>
        <w:pStyle w:val="NoSpacing"/>
        <w:numPr>
          <w:ilvl w:val="0"/>
          <w:numId w:val="2"/>
        </w:numPr>
      </w:pPr>
      <w:r>
        <w:t>See Maryland for E-mail correspondence with Deloitte regarding NOL carryback/carryforward rules (11/20/2014)</w:t>
      </w:r>
    </w:p>
    <w:p w:rsidR="00624FF0" w:rsidRDefault="00624FF0" w:rsidP="00624FF0">
      <w:pPr>
        <w:pStyle w:val="NoSpacing"/>
        <w:ind w:left="360"/>
      </w:pPr>
      <w:r>
        <w:rPr>
          <w:b/>
        </w:rPr>
        <w:t>Washington</w:t>
      </w:r>
    </w:p>
    <w:p w:rsidR="00624FF0" w:rsidRPr="00624FF0" w:rsidRDefault="00624FF0" w:rsidP="00624FF0">
      <w:pPr>
        <w:pStyle w:val="NoSpacing"/>
        <w:numPr>
          <w:ilvl w:val="0"/>
          <w:numId w:val="2"/>
        </w:numPr>
      </w:pPr>
      <w:r>
        <w:t>Note to file regarding Washington state B&amp;O tax (3/25/2014)</w:t>
      </w:r>
    </w:p>
    <w:p w:rsidR="00FD3FB9" w:rsidRDefault="00FD3FB9" w:rsidP="00FD3FB9">
      <w:pPr>
        <w:pStyle w:val="NoSpacing"/>
        <w:rPr>
          <w:b/>
        </w:rPr>
      </w:pPr>
      <w:r>
        <w:rPr>
          <w:b/>
        </w:rPr>
        <w:t>2009</w:t>
      </w:r>
    </w:p>
    <w:p w:rsidR="00FD3FB9" w:rsidRDefault="00FD3FB9" w:rsidP="00FD3FB9">
      <w:pPr>
        <w:pStyle w:val="NoSpacing"/>
        <w:numPr>
          <w:ilvl w:val="0"/>
          <w:numId w:val="2"/>
        </w:numPr>
      </w:pPr>
      <w:r>
        <w:t>Marsha Huff, Foley &amp; Lardner, comments on 2009 Form 990-PF</w:t>
      </w:r>
    </w:p>
    <w:p w:rsidR="00000970" w:rsidRDefault="00000970" w:rsidP="00000970">
      <w:pPr>
        <w:pStyle w:val="NoSpacing"/>
        <w:numPr>
          <w:ilvl w:val="0"/>
          <w:numId w:val="2"/>
        </w:numPr>
      </w:pPr>
      <w:r>
        <w:t>Notes regarding recovery of Charter Growth PRI amount in 2009.</w:t>
      </w:r>
    </w:p>
    <w:p w:rsidR="00FD3FB9" w:rsidRPr="00FD3FB9" w:rsidRDefault="00FD3FB9" w:rsidP="00FD3FB9">
      <w:pPr>
        <w:pStyle w:val="NoSpacing"/>
      </w:pPr>
    </w:p>
    <w:sectPr w:rsidR="00FD3FB9" w:rsidRPr="00FD3F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65" w:rsidRDefault="00C74465" w:rsidP="00C74465">
      <w:pPr>
        <w:spacing w:after="0" w:line="240" w:lineRule="auto"/>
      </w:pPr>
      <w:r>
        <w:separator/>
      </w:r>
    </w:p>
  </w:endnote>
  <w:endnote w:type="continuationSeparator" w:id="0">
    <w:p w:rsidR="00C74465" w:rsidRDefault="00C74465" w:rsidP="00C7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65" w:rsidRPr="00C74465" w:rsidRDefault="00C74465">
    <w:pPr>
      <w:pStyle w:val="Footer"/>
      <w:rPr>
        <w:sz w:val="18"/>
        <w:szCs w:val="18"/>
      </w:rPr>
    </w:pPr>
    <w:r w:rsidRPr="00C74465">
      <w:rPr>
        <w:sz w:val="18"/>
        <w:szCs w:val="18"/>
      </w:rPr>
      <w:fldChar w:fldCharType="begin"/>
    </w:r>
    <w:r w:rsidRPr="00C74465">
      <w:rPr>
        <w:sz w:val="18"/>
        <w:szCs w:val="18"/>
      </w:rPr>
      <w:instrText xml:space="preserve"> FILENAME  \* Caps \p  \* MERGEFORMAT </w:instrText>
    </w:r>
    <w:r w:rsidRPr="00C74465">
      <w:rPr>
        <w:sz w:val="18"/>
        <w:szCs w:val="18"/>
      </w:rPr>
      <w:fldChar w:fldCharType="separate"/>
    </w:r>
    <w:r w:rsidR="007956E8">
      <w:rPr>
        <w:noProof/>
        <w:sz w:val="18"/>
        <w:szCs w:val="18"/>
      </w:rPr>
      <w:t>H:\Finance\Procedures\Contents Of Tax Permanent File.Docx</w:t>
    </w:r>
    <w:r w:rsidRPr="00C74465">
      <w:rPr>
        <w:sz w:val="18"/>
        <w:szCs w:val="18"/>
      </w:rPr>
      <w:fldChar w:fldCharType="end"/>
    </w:r>
  </w:p>
  <w:p w:rsidR="00C74465" w:rsidRDefault="00C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65" w:rsidRDefault="00C74465" w:rsidP="00C74465">
      <w:pPr>
        <w:spacing w:after="0" w:line="240" w:lineRule="auto"/>
      </w:pPr>
      <w:r>
        <w:separator/>
      </w:r>
    </w:p>
  </w:footnote>
  <w:footnote w:type="continuationSeparator" w:id="0">
    <w:p w:rsidR="00C74465" w:rsidRDefault="00C74465" w:rsidP="00C74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01477"/>
    <w:multiLevelType w:val="hybridMultilevel"/>
    <w:tmpl w:val="AB22C460"/>
    <w:lvl w:ilvl="0" w:tplc="6068F4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333CA"/>
    <w:multiLevelType w:val="hybridMultilevel"/>
    <w:tmpl w:val="6BCAAE20"/>
    <w:lvl w:ilvl="0" w:tplc="3D80BA08">
      <w:start w:val="99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2A5BB8"/>
    <w:multiLevelType w:val="hybridMultilevel"/>
    <w:tmpl w:val="6A4A3788"/>
    <w:lvl w:ilvl="0" w:tplc="32F0A3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A9"/>
    <w:rsid w:val="00000970"/>
    <w:rsid w:val="001700E7"/>
    <w:rsid w:val="001E01CD"/>
    <w:rsid w:val="002229B4"/>
    <w:rsid w:val="002330FF"/>
    <w:rsid w:val="0027014D"/>
    <w:rsid w:val="00281EDE"/>
    <w:rsid w:val="003645AA"/>
    <w:rsid w:val="003E419A"/>
    <w:rsid w:val="00445AEF"/>
    <w:rsid w:val="004A555D"/>
    <w:rsid w:val="004E5A69"/>
    <w:rsid w:val="00573E5B"/>
    <w:rsid w:val="00624FF0"/>
    <w:rsid w:val="0069394A"/>
    <w:rsid w:val="007956E8"/>
    <w:rsid w:val="007F62E9"/>
    <w:rsid w:val="008133A9"/>
    <w:rsid w:val="00851467"/>
    <w:rsid w:val="008A7765"/>
    <w:rsid w:val="00A1480B"/>
    <w:rsid w:val="00C74465"/>
    <w:rsid w:val="00DE42A5"/>
    <w:rsid w:val="00F52444"/>
    <w:rsid w:val="00FD3FB9"/>
    <w:rsid w:val="00FE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EA2F3-B59E-47EF-AD25-7B8057A5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9B4"/>
    <w:pPr>
      <w:spacing w:after="0" w:line="240" w:lineRule="auto"/>
    </w:pPr>
  </w:style>
  <w:style w:type="paragraph" w:styleId="BalloonText">
    <w:name w:val="Balloon Text"/>
    <w:basedOn w:val="Normal"/>
    <w:link w:val="BalloonTextChar"/>
    <w:uiPriority w:val="99"/>
    <w:semiHidden/>
    <w:unhideWhenUsed/>
    <w:rsid w:val="00851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67"/>
    <w:rPr>
      <w:rFonts w:ascii="Tahoma" w:hAnsi="Tahoma" w:cs="Tahoma"/>
      <w:sz w:val="16"/>
      <w:szCs w:val="16"/>
    </w:rPr>
  </w:style>
  <w:style w:type="paragraph" w:styleId="Header">
    <w:name w:val="header"/>
    <w:basedOn w:val="Normal"/>
    <w:link w:val="HeaderChar"/>
    <w:uiPriority w:val="99"/>
    <w:unhideWhenUsed/>
    <w:rsid w:val="00C74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465"/>
  </w:style>
  <w:style w:type="paragraph" w:styleId="Footer">
    <w:name w:val="footer"/>
    <w:basedOn w:val="Normal"/>
    <w:link w:val="FooterChar"/>
    <w:uiPriority w:val="99"/>
    <w:unhideWhenUsed/>
    <w:rsid w:val="00C74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10</cp:revision>
  <cp:lastPrinted>2016-03-30T16:56:00Z</cp:lastPrinted>
  <dcterms:created xsi:type="dcterms:W3CDTF">2013-04-02T19:15:00Z</dcterms:created>
  <dcterms:modified xsi:type="dcterms:W3CDTF">2016-03-30T16:58:00Z</dcterms:modified>
</cp:coreProperties>
</file>