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A8" w:rsidRDefault="00BC4B6A">
      <w:pPr>
        <w:jc w:val="center"/>
        <w:rPr>
          <w:rFonts w:eastAsia="MS Gothic"/>
          <w:b/>
          <w:szCs w:val="24"/>
        </w:rPr>
      </w:pPr>
      <w:bookmarkStart w:id="0" w:name="_GoBack"/>
      <w:bookmarkEnd w:id="0"/>
      <w:r>
        <w:rPr>
          <w:rFonts w:eastAsia="MS Gothic"/>
          <w:b/>
          <w:szCs w:val="24"/>
        </w:rPr>
        <w:t>SPECIAL INSTRUCTIONS</w:t>
      </w:r>
    </w:p>
    <w:p w:rsidR="00BC4B6A" w:rsidRDefault="00BC4B6A">
      <w:pPr>
        <w:pStyle w:val="ListParagraph"/>
        <w:numPr>
          <w:ilvl w:val="0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b/>
          <w:szCs w:val="24"/>
        </w:rPr>
        <w:t>Grant Agreement to use</w:t>
      </w:r>
    </w:p>
    <w:p w:rsidR="00BC4B6A" w:rsidRDefault="00BC4B6A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None, not permitted:</w:t>
      </w:r>
    </w:p>
    <w:p w:rsidR="00BC4B6A" w:rsidRDefault="00BC4B6A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Type III, non-functionally integrated supporting organization</w:t>
      </w:r>
    </w:p>
    <w:p w:rsidR="00BC4B6A" w:rsidRDefault="00BC4B6A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Political or lobbying organization</w:t>
      </w:r>
    </w:p>
    <w:p w:rsidR="00BC4B6A" w:rsidRDefault="00BC4B6A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Charity:</w:t>
      </w:r>
    </w:p>
    <w:p w:rsidR="00BC4B6A" w:rsidRDefault="00BC4B6A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501(c)(3) public charity other than a controlled 509(a)(3) supporting organization</w:t>
      </w:r>
    </w:p>
    <w:p w:rsidR="00BC4B6A" w:rsidRDefault="00BC4B6A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Private operating foundation</w:t>
      </w:r>
    </w:p>
    <w:p w:rsidR="00BC4B6A" w:rsidRDefault="00BC4B6A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Private non-operating foundation</w:t>
      </w:r>
    </w:p>
    <w:p w:rsidR="00BC4B6A" w:rsidRDefault="00BC4B6A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Private non-operating foundation</w:t>
      </w:r>
    </w:p>
    <w:p w:rsidR="00BC4B6A" w:rsidRDefault="00BC4B6A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Controlled public charity</w:t>
      </w:r>
    </w:p>
    <w:p w:rsidR="00BC4B6A" w:rsidRDefault="00BC4B6A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Controlled Type I, II, or functionally integrated Type III supporting organization</w:t>
      </w:r>
    </w:p>
    <w:p w:rsidR="00BC4B6A" w:rsidRDefault="00BC4B6A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Other:</w:t>
      </w:r>
      <w:r>
        <w:rPr>
          <w:rFonts w:eastAsia="MS Gothic"/>
          <w:szCs w:val="24"/>
        </w:rPr>
        <w:tab/>
      </w:r>
    </w:p>
    <w:p w:rsidR="00BC4B6A" w:rsidRDefault="00BC4B6A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Taxable organization</w:t>
      </w:r>
    </w:p>
    <w:p w:rsidR="00BC4B6A" w:rsidRDefault="00BC4B6A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Any organization not described above</w:t>
      </w:r>
    </w:p>
    <w:p w:rsidR="00A03122" w:rsidRDefault="00A03122">
      <w:pPr>
        <w:pStyle w:val="ListParagraph"/>
        <w:numPr>
          <w:ilvl w:val="0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b/>
          <w:szCs w:val="24"/>
        </w:rPr>
        <w:t>Typing the 501(c)(3) organization</w:t>
      </w:r>
    </w:p>
    <w:p w:rsidR="00A03122" w:rsidRDefault="00A03122">
      <w:pPr>
        <w:pStyle w:val="ListParagraph"/>
        <w:numPr>
          <w:ilvl w:val="1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Form 990 Schedule A is a very useful tool</w:t>
      </w:r>
    </w:p>
    <w:p w:rsidR="00A03122" w:rsidRDefault="00DD5F9B">
      <w:pPr>
        <w:pStyle w:val="ListParagraph"/>
        <w:numPr>
          <w:ilvl w:val="1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 xml:space="preserve">Form 990 </w:t>
      </w:r>
      <w:r w:rsidR="00A03122">
        <w:rPr>
          <w:rFonts w:eastAsia="MS Gothic"/>
          <w:szCs w:val="24"/>
        </w:rPr>
        <w:t>Part 1</w:t>
      </w:r>
    </w:p>
    <w:p w:rsidR="00A03122" w:rsidRDefault="00A03122">
      <w:pPr>
        <w:pStyle w:val="ListParagraph"/>
        <w:numPr>
          <w:ilvl w:val="2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Per se public charities:  boxes 1 to 6</w:t>
      </w:r>
    </w:p>
    <w:p w:rsidR="00A03122" w:rsidRDefault="00A03122">
      <w:pPr>
        <w:pStyle w:val="ListParagraph"/>
        <w:numPr>
          <w:ilvl w:val="2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 xml:space="preserve">Box 7 </w:t>
      </w:r>
      <w:r w:rsidR="004E5403">
        <w:rPr>
          <w:rFonts w:eastAsia="MS Gothic"/>
          <w:szCs w:val="24"/>
        </w:rPr>
        <w:t xml:space="preserve">and 8 </w:t>
      </w:r>
      <w:r>
        <w:rPr>
          <w:rFonts w:eastAsia="MS Gothic"/>
          <w:szCs w:val="24"/>
        </w:rPr>
        <w:t>requires more than 1/3 of public support from the broad public</w:t>
      </w:r>
    </w:p>
    <w:p w:rsidR="00A03122" w:rsidRDefault="00A03122">
      <w:pPr>
        <w:pStyle w:val="ListParagraph"/>
        <w:numPr>
          <w:ilvl w:val="3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Grants from organizations other than public charities or governmental organizations are limited to 2% of total support – the excess should appear on line 5</w:t>
      </w:r>
    </w:p>
    <w:p w:rsidR="00A03122" w:rsidRDefault="00A03122">
      <w:pPr>
        <w:pStyle w:val="ListParagraph"/>
        <w:numPr>
          <w:ilvl w:val="3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If prior grantee of the Foundation and the Foundation knows it gave more than 2% of the amount on line 11(f) in the previous 5 years, if nothing appears on line 5 – then that is a good sign that the schedule may not have been prepared correctly</w:t>
      </w:r>
    </w:p>
    <w:p w:rsidR="00A03122" w:rsidRDefault="00A03122">
      <w:pPr>
        <w:pStyle w:val="ListParagraph"/>
        <w:numPr>
          <w:ilvl w:val="3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See part II line 14 – this should be more than 33 1/3% - the higher the number the better.</w:t>
      </w:r>
    </w:p>
    <w:p w:rsidR="00A03122" w:rsidRDefault="00A03122">
      <w:pPr>
        <w:pStyle w:val="ListParagraph"/>
        <w:numPr>
          <w:ilvl w:val="2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Box 9 requires more than 1/3 of public support from the broad public and no more than 1/3 of total support from investment income</w:t>
      </w:r>
    </w:p>
    <w:p w:rsidR="00A03122" w:rsidRDefault="00A03122">
      <w:pPr>
        <w:pStyle w:val="ListParagraph"/>
        <w:numPr>
          <w:ilvl w:val="3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This category is typically used by organizations that collect gross receipts as opposed to just charitable contributions</w:t>
      </w:r>
    </w:p>
    <w:p w:rsidR="00A03122" w:rsidRDefault="00A03122">
      <w:pPr>
        <w:pStyle w:val="ListParagraph"/>
        <w:numPr>
          <w:ilvl w:val="3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Grants from disqualified persons (which includes substantial contributors) are excluded from the numerator and should appear on line 7a of part III</w:t>
      </w:r>
    </w:p>
    <w:p w:rsidR="00A03122" w:rsidRDefault="00A03122">
      <w:pPr>
        <w:pStyle w:val="ListParagraph"/>
        <w:numPr>
          <w:ilvl w:val="3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A substantial contributor is a person who contributed an aggregate amount of more than 2% of the total contributions received by the organization</w:t>
      </w:r>
      <w:r w:rsidR="00DD5F9B">
        <w:rPr>
          <w:rFonts w:eastAsia="MS Gothic"/>
          <w:szCs w:val="24"/>
        </w:rPr>
        <w:t xml:space="preserve"> </w:t>
      </w:r>
    </w:p>
    <w:p w:rsidR="00DD5F9B" w:rsidRDefault="00DD5F9B">
      <w:pPr>
        <w:pStyle w:val="ListParagraph"/>
        <w:numPr>
          <w:ilvl w:val="3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See Part III line 15 – should be more than 33 1/3 % - the higher the better</w:t>
      </w:r>
    </w:p>
    <w:p w:rsidR="00DD5F9B" w:rsidRDefault="00DD5F9B">
      <w:pPr>
        <w:pStyle w:val="ListParagraph"/>
        <w:numPr>
          <w:ilvl w:val="3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lastRenderedPageBreak/>
        <w:t>See part III line 17 – this must be less than 33 1/3% - the lower the better</w:t>
      </w:r>
    </w:p>
    <w:p w:rsidR="00DD5F9B" w:rsidRDefault="00DD5F9B">
      <w:pPr>
        <w:pStyle w:val="ListParagraph"/>
        <w:numPr>
          <w:ilvl w:val="2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b/>
          <w:szCs w:val="24"/>
        </w:rPr>
        <w:t>All of above will use the public charity grant agreement unless it is controlled by the Foundation</w:t>
      </w:r>
    </w:p>
    <w:p w:rsidR="00753D84" w:rsidRDefault="00753D84" w:rsidP="00753D84">
      <w:pPr>
        <w:pStyle w:val="ListParagraph"/>
        <w:ind w:left="2160"/>
        <w:rPr>
          <w:rFonts w:eastAsia="MS Gothic"/>
          <w:b/>
          <w:szCs w:val="24"/>
        </w:rPr>
      </w:pPr>
    </w:p>
    <w:p w:rsidR="00DD5F9B" w:rsidRDefault="00DD5F9B">
      <w:pPr>
        <w:pStyle w:val="ListParagraph"/>
        <w:numPr>
          <w:ilvl w:val="2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Box 11 – recommend contributions not be made to these organizations.  For those with box 11 checked – there is generally a public charity that is supported and may be a good alternative for a grant.</w:t>
      </w:r>
    </w:p>
    <w:p w:rsidR="00DD5F9B" w:rsidRDefault="00DD5F9B">
      <w:pPr>
        <w:pStyle w:val="ListParagraph"/>
        <w:numPr>
          <w:ilvl w:val="3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 xml:space="preserve">However, if they have an IRS determination letter </w:t>
      </w:r>
      <w:r w:rsidR="00AE611B">
        <w:rPr>
          <w:rFonts w:eastAsia="MS Gothic"/>
          <w:szCs w:val="24"/>
        </w:rPr>
        <w:t>that shows type I or II, then grants to them would be OK and would not require expenditure responsibility</w:t>
      </w:r>
    </w:p>
    <w:p w:rsidR="00DD5F9B" w:rsidRDefault="00DD5F9B">
      <w:pPr>
        <w:pStyle w:val="ListParagraph"/>
        <w:numPr>
          <w:ilvl w:val="2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szCs w:val="24"/>
        </w:rPr>
        <w:t>Box 11 d – not permitted to contribute to this type of organization</w:t>
      </w:r>
    </w:p>
    <w:p w:rsidR="00A03122" w:rsidRDefault="00A03122">
      <w:pPr>
        <w:pStyle w:val="ListParagraph"/>
        <w:numPr>
          <w:ilvl w:val="0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b/>
          <w:szCs w:val="24"/>
        </w:rPr>
        <w:t>Tipping considerations</w:t>
      </w:r>
    </w:p>
    <w:p w:rsidR="00AE611B" w:rsidRDefault="00AE611B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T</w:t>
      </w:r>
      <w:r w:rsidR="004E5403">
        <w:rPr>
          <w:rFonts w:eastAsia="MS Gothic"/>
          <w:szCs w:val="24"/>
        </w:rPr>
        <w:t>his only applies to public charities, and specifically to 509(a)(1) and (a)(2) public charities – boxes 7, 8 and 9 of Form 990 Schedule A Part I)  and is intended to look at whether the public charity would become a private foundation as a result of contributions by the Foundation</w:t>
      </w:r>
    </w:p>
    <w:p w:rsidR="00A03122" w:rsidRDefault="004E5403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T</w:t>
      </w:r>
      <w:r w:rsidR="00AE611B">
        <w:rPr>
          <w:rFonts w:eastAsia="MS Gothic"/>
          <w:szCs w:val="24"/>
        </w:rPr>
        <w:t>his is a rolling 5 year test that is reflected on Form 990 Schedule A part II or III</w:t>
      </w:r>
      <w:r w:rsidR="00A03122">
        <w:rPr>
          <w:rFonts w:eastAsia="MS Gothic"/>
          <w:szCs w:val="24"/>
        </w:rPr>
        <w:t xml:space="preserve"> </w:t>
      </w:r>
    </w:p>
    <w:p w:rsidR="004E5403" w:rsidRDefault="004E5403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The Form 990 you will find on </w:t>
      </w:r>
      <w:proofErr w:type="spellStart"/>
      <w:r>
        <w:rPr>
          <w:rFonts w:eastAsia="MS Gothic"/>
          <w:szCs w:val="24"/>
        </w:rPr>
        <w:t>Guidestar</w:t>
      </w:r>
      <w:proofErr w:type="spellEnd"/>
      <w:r>
        <w:rPr>
          <w:rFonts w:eastAsia="MS Gothic"/>
          <w:szCs w:val="24"/>
        </w:rPr>
        <w:t xml:space="preserve"> is likely to be a year or more old.  However, it is useful as a starting point.</w:t>
      </w:r>
    </w:p>
    <w:p w:rsidR="004E5403" w:rsidRDefault="004E5403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For box 7 and 8 organizations:</w:t>
      </w:r>
    </w:p>
    <w:p w:rsidR="004E5403" w:rsidRDefault="004E5403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Consider how the Foundation’s contributions for the past 4 years, including the proposed grant, compare</w:t>
      </w:r>
      <w:r w:rsidR="008E78D4">
        <w:rPr>
          <w:rFonts w:eastAsia="MS Gothic"/>
          <w:szCs w:val="24"/>
        </w:rPr>
        <w:t>s</w:t>
      </w:r>
      <w:r>
        <w:rPr>
          <w:rFonts w:eastAsia="MS Gothic"/>
          <w:szCs w:val="24"/>
        </w:rPr>
        <w:t xml:space="preserve"> to 2% of  the amount shown  on part II line 11(f).  if the total of these grants is more than 2% of line 11f, then perform the following calculation:</w:t>
      </w:r>
    </w:p>
    <w:p w:rsidR="008E78D4" w:rsidRDefault="004E5403">
      <w:pPr>
        <w:pStyle w:val="ListParagraph"/>
        <w:numPr>
          <w:ilvl w:val="3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Revise line 6</w:t>
      </w:r>
      <w:r w:rsidR="008E78D4">
        <w:rPr>
          <w:rFonts w:eastAsia="MS Gothic"/>
          <w:szCs w:val="24"/>
        </w:rPr>
        <w:t xml:space="preserve">: </w:t>
      </w:r>
      <w:r>
        <w:rPr>
          <w:rFonts w:eastAsia="MS Gothic"/>
          <w:szCs w:val="24"/>
        </w:rPr>
        <w:t>Prior line 6 + the proposed grant less the excess determined above</w:t>
      </w:r>
    </w:p>
    <w:p w:rsidR="004E5403" w:rsidRDefault="008E78D4">
      <w:pPr>
        <w:pStyle w:val="ListParagraph"/>
        <w:numPr>
          <w:ilvl w:val="3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Revise line 11(f) : </w:t>
      </w:r>
      <w:r w:rsidR="004E5403">
        <w:rPr>
          <w:rFonts w:eastAsia="MS Gothic"/>
          <w:szCs w:val="24"/>
        </w:rPr>
        <w:t xml:space="preserve">Prior line </w:t>
      </w:r>
      <w:r>
        <w:rPr>
          <w:rFonts w:eastAsia="MS Gothic"/>
          <w:szCs w:val="24"/>
        </w:rPr>
        <w:t>11f + the proposed grant</w:t>
      </w:r>
    </w:p>
    <w:p w:rsidR="008E78D4" w:rsidRDefault="008E78D4">
      <w:pPr>
        <w:pStyle w:val="ListParagraph"/>
        <w:numPr>
          <w:ilvl w:val="3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Recalculate line 14 by dividing (1) by (2) – result should be more than 33 1/3%.  If over 45% - no further inquiry.  If under 45%, consider further inquiry of the proposed grantee.</w:t>
      </w:r>
    </w:p>
    <w:p w:rsidR="008E78D4" w:rsidRDefault="008E78D4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For box 9 organizations:</w:t>
      </w:r>
    </w:p>
    <w:p w:rsidR="008E78D4" w:rsidRDefault="008E78D4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Consider how the Foundation’s contributions for the </w:t>
      </w:r>
      <w:proofErr w:type="spellStart"/>
      <w:r>
        <w:rPr>
          <w:rFonts w:eastAsia="MS Gothic"/>
          <w:szCs w:val="24"/>
        </w:rPr>
        <w:t>part</w:t>
      </w:r>
      <w:proofErr w:type="spellEnd"/>
      <w:r>
        <w:rPr>
          <w:rFonts w:eastAsia="MS Gothic"/>
          <w:szCs w:val="24"/>
        </w:rPr>
        <w:t xml:space="preserve"> 4 years, included the proposed grant, compares to 2% of the amount shown on part III line 13(f).  If the total is more than 2% of this amount, then perform the following calculation:</w:t>
      </w:r>
    </w:p>
    <w:p w:rsidR="008E78D4" w:rsidRDefault="008E78D4">
      <w:pPr>
        <w:pStyle w:val="ListParagraph"/>
        <w:numPr>
          <w:ilvl w:val="3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Add the proposed grant (as well as prior grants) to this grantee to the line 7a and correspondingly reduce the line 8 amount</w:t>
      </w:r>
    </w:p>
    <w:p w:rsidR="008E78D4" w:rsidRDefault="008E78D4">
      <w:pPr>
        <w:pStyle w:val="ListParagraph"/>
        <w:numPr>
          <w:ilvl w:val="3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Add the proposed grant to the line 13 amount</w:t>
      </w:r>
    </w:p>
    <w:p w:rsidR="008E78D4" w:rsidRDefault="008E78D4">
      <w:pPr>
        <w:pStyle w:val="ListParagraph"/>
        <w:numPr>
          <w:ilvl w:val="3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Divided (1) by (2) - result should be more than 33 1/3%.  If over 45%, no further inquiry.  If under 45%, consider further inquiry of the proposed grantee.</w:t>
      </w:r>
    </w:p>
    <w:p w:rsidR="008E78D4" w:rsidRDefault="008E78D4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Note – above revised calculations do have flaws – </w:t>
      </w:r>
    </w:p>
    <w:p w:rsidR="008E78D4" w:rsidRDefault="008E78D4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The organization may have already limited the amount of prior </w:t>
      </w:r>
      <w:r>
        <w:rPr>
          <w:rFonts w:eastAsia="MS Gothic"/>
          <w:szCs w:val="24"/>
        </w:rPr>
        <w:lastRenderedPageBreak/>
        <w:t xml:space="preserve">contributions by the Foundation in their Schedule A calculations.  However, there is no way, without further inquiry of the grantee, for the Foundation to know whether that did in fact occur and the amount. </w:t>
      </w:r>
    </w:p>
    <w:p w:rsidR="008E78D4" w:rsidRDefault="008E78D4">
      <w:pPr>
        <w:pStyle w:val="ListParagraph"/>
        <w:numPr>
          <w:ilvl w:val="2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 The calculation does not reflect other potential grantees in the current year or even total support for the current year.  Thus, the above is just used as a tool to identify a potential issue and when to make further inquiries of the charitable organization.</w:t>
      </w:r>
    </w:p>
    <w:p w:rsidR="008E78D4" w:rsidRDefault="008E78D4">
      <w:pPr>
        <w:pStyle w:val="ListParagraph"/>
        <w:numPr>
          <w:ilvl w:val="0"/>
          <w:numId w:val="40"/>
        </w:numPr>
        <w:rPr>
          <w:rFonts w:eastAsia="MS Gothic"/>
          <w:b/>
          <w:szCs w:val="24"/>
        </w:rPr>
      </w:pPr>
      <w:r>
        <w:rPr>
          <w:rFonts w:eastAsia="MS Gothic"/>
          <w:b/>
          <w:szCs w:val="24"/>
        </w:rPr>
        <w:t>Disqualified person includes:</w:t>
      </w:r>
    </w:p>
    <w:p w:rsidR="008C6690" w:rsidRDefault="008C6690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A person (including an individual, corporation, partnership, trust, estate, or other private foundation) standing in one or more particular relationships with respect to a private foundation, its trustees, and its founders. The following are a few examples of a disqualified person:</w:t>
      </w:r>
    </w:p>
    <w:p w:rsidR="008C6690" w:rsidRDefault="008C6690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Substantial contributor — a person who contributed an aggregate amount of more than 2 percent of the total contributions received by the private foundation before the close of its tax year in which the contribution is received by the private foundation from that person</w:t>
      </w:r>
    </w:p>
    <w:p w:rsidR="008C6690" w:rsidRDefault="008C6690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Foundation manager — an officer, director, or trustee of the private foundation, or an individual having powers or responsibilities similar thereto</w:t>
      </w:r>
    </w:p>
    <w:p w:rsidR="008C6690" w:rsidRDefault="008C6690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Certain 20 percent owners — an owner of more than 20 percent of the total combined voting power of a corporation, the profits interest of a partnership, or the beneficial interest of a trust or unincorporated enterprise, any of which is a substantial contributor to a private foundation</w:t>
      </w:r>
    </w:p>
    <w:p w:rsidR="008E78D4" w:rsidRDefault="008C6690">
      <w:pPr>
        <w:pStyle w:val="ListParagraph"/>
        <w:numPr>
          <w:ilvl w:val="1"/>
          <w:numId w:val="40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Family members — a member of the family of an individual who is a substantial contributor, a foundation manager, or one of the previously discussed 20 percent owners</w:t>
      </w:r>
    </w:p>
    <w:p w:rsidR="00210C43" w:rsidRDefault="00210C43" w:rsidP="00881EDB">
      <w:pPr>
        <w:widowControl/>
        <w:spacing w:after="0" w:line="240" w:lineRule="auto"/>
      </w:pPr>
    </w:p>
    <w:sectPr w:rsidR="00210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800" w:bottom="1008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D0" w:rsidRDefault="00DC79D0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DC79D0" w:rsidRDefault="00DC79D0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72" w:rsidRDefault="009F0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43" w:rsidRDefault="00210C43">
    <w:pPr>
      <w:widowControl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72" w:rsidRDefault="009F0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D0" w:rsidRDefault="00DC79D0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C79D0" w:rsidRDefault="00DC79D0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87" w:rsidRDefault="00AA5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43" w:rsidRDefault="00210C43">
    <w:pPr>
      <w:widowControl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87" w:rsidRDefault="00AA5C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38A7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hybridMultilevel"/>
    <w:tmpl w:val="5F0A6708"/>
    <w:lvl w:ilvl="0" w:tplc="A61C09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B0ACD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4CAF87E"/>
    <w:lvl w:ilvl="0" w:tplc="FB44F428">
      <w:start w:val="1"/>
      <w:numFmt w:val="upperLetter"/>
      <w:lvlText w:val="%1."/>
      <w:lvlJc w:val="left"/>
      <w:pPr>
        <w:ind w:left="144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0000005"/>
    <w:multiLevelType w:val="hybridMultilevel"/>
    <w:tmpl w:val="7DBE6EF2"/>
    <w:lvl w:ilvl="0" w:tplc="37F043CC">
      <w:start w:val="4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0000006"/>
    <w:multiLevelType w:val="hybridMultilevel"/>
    <w:tmpl w:val="4A6226E2"/>
    <w:lvl w:ilvl="0" w:tplc="04090015">
      <w:start w:val="1"/>
      <w:numFmt w:val="upperLetter"/>
      <w:lvlText w:val="%1."/>
      <w:lvlJc w:val="left"/>
      <w:pPr>
        <w:ind w:left="1601" w:hanging="75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00000007"/>
    <w:multiLevelType w:val="hybridMultilevel"/>
    <w:tmpl w:val="83EEAA72"/>
    <w:lvl w:ilvl="0" w:tplc="A61C09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5B27280"/>
    <w:lvl w:ilvl="0" w:tplc="A61C09C6">
      <w:start w:val="1"/>
      <w:numFmt w:val="bullet"/>
      <w:lvlText w:val=""/>
      <w:lvlJc w:val="left"/>
      <w:pPr>
        <w:ind w:left="15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E78F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3E8CE3E6"/>
    <w:lvl w:ilvl="0" w:tplc="A61C09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E301902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530EEF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044D884"/>
    <w:lvl w:ilvl="0" w:tplc="79427992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000000E"/>
    <w:multiLevelType w:val="hybridMultilevel"/>
    <w:tmpl w:val="260E682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4418B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0000010"/>
    <w:multiLevelType w:val="hybridMultilevel"/>
    <w:tmpl w:val="1FE6FBE0"/>
    <w:lvl w:ilvl="0" w:tplc="E570B3D2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0000011"/>
    <w:multiLevelType w:val="hybridMultilevel"/>
    <w:tmpl w:val="D4D45390"/>
    <w:lvl w:ilvl="0" w:tplc="F49A534A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0000012"/>
    <w:multiLevelType w:val="hybridMultilevel"/>
    <w:tmpl w:val="EF66E564"/>
    <w:lvl w:ilvl="0" w:tplc="A61C09C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DA6CF4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00000014"/>
    <w:multiLevelType w:val="hybridMultilevel"/>
    <w:tmpl w:val="9914109A"/>
    <w:lvl w:ilvl="0" w:tplc="A61C09C6">
      <w:start w:val="1"/>
      <w:numFmt w:val="bullet"/>
      <w:lvlText w:val=""/>
      <w:lvlJc w:val="left"/>
      <w:pPr>
        <w:ind w:left="22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83CEE0E0"/>
    <w:lvl w:ilvl="0" w:tplc="21088652">
      <w:start w:val="1"/>
      <w:numFmt w:val="upperLetter"/>
      <w:lvlText w:val="%1."/>
      <w:lvlJc w:val="left"/>
      <w:pPr>
        <w:ind w:left="1364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1">
    <w:nsid w:val="00000016"/>
    <w:multiLevelType w:val="hybridMultilevel"/>
    <w:tmpl w:val="6DD87C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w w:val="135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 w:hint="eastAsia"/>
      </w:rPr>
    </w:lvl>
    <w:lvl w:ilvl="2" w:tplc="2BBE92E0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  <w:w w:val="150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00000017"/>
    <w:multiLevelType w:val="hybridMultilevel"/>
    <w:tmpl w:val="858AA1B0"/>
    <w:lvl w:ilvl="0" w:tplc="182EEA98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0000018"/>
    <w:multiLevelType w:val="hybridMultilevel"/>
    <w:tmpl w:val="6A1E69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00000019"/>
    <w:multiLevelType w:val="hybridMultilevel"/>
    <w:tmpl w:val="F4BA2E62"/>
    <w:lvl w:ilvl="0" w:tplc="A61C09C6">
      <w:start w:val="1"/>
      <w:numFmt w:val="bullet"/>
      <w:lvlText w:val=""/>
      <w:lvlJc w:val="left"/>
      <w:pPr>
        <w:ind w:left="16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98A694F8"/>
    <w:lvl w:ilvl="0" w:tplc="7C08E242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D3D074F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000001C"/>
    <w:multiLevelType w:val="hybridMultilevel"/>
    <w:tmpl w:val="E1E6E2E8"/>
    <w:lvl w:ilvl="0" w:tplc="32A41EC4">
      <w:start w:val="1"/>
      <w:numFmt w:val="lowerLetter"/>
      <w:lvlText w:val="%1."/>
      <w:lvlJc w:val="left"/>
      <w:pPr>
        <w:ind w:left="216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000001D"/>
    <w:multiLevelType w:val="hybridMultilevel"/>
    <w:tmpl w:val="4A6226E2"/>
    <w:lvl w:ilvl="0" w:tplc="04090015">
      <w:start w:val="1"/>
      <w:numFmt w:val="upperLetter"/>
      <w:lvlText w:val="%1."/>
      <w:lvlJc w:val="left"/>
      <w:pPr>
        <w:ind w:left="1601" w:hanging="75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0000001E"/>
    <w:multiLevelType w:val="hybridMultilevel"/>
    <w:tmpl w:val="195067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C8202312"/>
    <w:lvl w:ilvl="0" w:tplc="3D682858">
      <w:start w:val="1"/>
      <w:numFmt w:val="upperLetter"/>
      <w:lvlText w:val="%1."/>
      <w:lvlJc w:val="left"/>
      <w:pPr>
        <w:ind w:left="1211" w:hanging="360"/>
      </w:pPr>
      <w:rPr>
        <w:rFonts w:cs="Times New Roman" w:hint="eastAsia"/>
      </w:rPr>
    </w:lvl>
    <w:lvl w:ilvl="1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00000020"/>
    <w:multiLevelType w:val="hybridMultilevel"/>
    <w:tmpl w:val="489609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 w:hint="eastAsia"/>
      </w:rPr>
    </w:lvl>
    <w:lvl w:ilvl="2" w:tplc="24CC26A0">
      <w:start w:val="1"/>
      <w:numFmt w:val="decimal"/>
      <w:lvlText w:val="%3."/>
      <w:lvlJc w:val="left"/>
      <w:pPr>
        <w:ind w:left="2880" w:hanging="360"/>
      </w:pPr>
      <w:rPr>
        <w:rFonts w:cs="Times New Roman" w:hint="eastAsia"/>
      </w:rPr>
    </w:lvl>
    <w:lvl w:ilvl="3" w:tplc="0D387BD6">
      <w:start w:val="1"/>
      <w:numFmt w:val="upperRoman"/>
      <w:lvlText w:val="%4."/>
      <w:lvlJc w:val="left"/>
      <w:pPr>
        <w:ind w:left="3960" w:hanging="720"/>
      </w:pPr>
      <w:rPr>
        <w:rFonts w:cs="Times New Roman" w:hint="eastAsia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6B4E30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71EC0A32"/>
    <w:lvl w:ilvl="0" w:tplc="64BAD194">
      <w:start w:val="1"/>
      <w:numFmt w:val="lowerRoman"/>
      <w:lvlText w:val="%1."/>
      <w:lvlJc w:val="left"/>
      <w:pPr>
        <w:ind w:left="2520" w:hanging="360"/>
      </w:pPr>
      <w:rPr>
        <w:rFonts w:ascii="Calibri" w:eastAsia="Times New Roman" w:hAnsi="Calibri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00000023"/>
    <w:multiLevelType w:val="hybridMultilevel"/>
    <w:tmpl w:val="84540474"/>
    <w:lvl w:ilvl="0" w:tplc="62A26328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00000024"/>
    <w:multiLevelType w:val="hybridMultilevel"/>
    <w:tmpl w:val="CC56A024"/>
    <w:lvl w:ilvl="0" w:tplc="A61C09C6">
      <w:start w:val="1"/>
      <w:numFmt w:val="bullet"/>
      <w:lvlText w:val=""/>
      <w:lvlJc w:val="left"/>
      <w:pPr>
        <w:ind w:left="15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3BD49386"/>
    <w:lvl w:ilvl="0" w:tplc="139E0976">
      <w:start w:val="1"/>
      <w:numFmt w:val="upperRoman"/>
      <w:lvlText w:val="%1."/>
      <w:lvlJc w:val="left"/>
      <w:pPr>
        <w:ind w:left="108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00000026"/>
    <w:multiLevelType w:val="hybridMultilevel"/>
    <w:tmpl w:val="1FA8B7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643C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8"/>
    <w:multiLevelType w:val="hybridMultilevel"/>
    <w:tmpl w:val="AD9CF02E"/>
    <w:lvl w:ilvl="0" w:tplc="A61C09C6">
      <w:start w:val="1"/>
      <w:numFmt w:val="bullet"/>
      <w:lvlText w:val=""/>
      <w:lvlJc w:val="left"/>
      <w:pPr>
        <w:ind w:left="30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0B16741A"/>
    <w:multiLevelType w:val="hybridMultilevel"/>
    <w:tmpl w:val="8EA038A2"/>
    <w:lvl w:ilvl="0" w:tplc="2376D538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307F2A14"/>
    <w:multiLevelType w:val="hybridMultilevel"/>
    <w:tmpl w:val="0BC83B90"/>
    <w:lvl w:ilvl="0" w:tplc="17F80020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47A96ED8"/>
    <w:multiLevelType w:val="hybridMultilevel"/>
    <w:tmpl w:val="0BC83B90"/>
    <w:lvl w:ilvl="0" w:tplc="17F80020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59CE082B"/>
    <w:multiLevelType w:val="hybridMultilevel"/>
    <w:tmpl w:val="0BC83B90"/>
    <w:lvl w:ilvl="0" w:tplc="17F80020">
      <w:start w:val="1"/>
      <w:numFmt w:val="decimal"/>
      <w:lvlText w:val="%1."/>
      <w:lvlJc w:val="left"/>
      <w:pPr>
        <w:ind w:left="117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30"/>
  </w:num>
  <w:num w:numId="4">
    <w:abstractNumId w:val="0"/>
  </w:num>
  <w:num w:numId="5">
    <w:abstractNumId w:val="15"/>
  </w:num>
  <w:num w:numId="6">
    <w:abstractNumId w:val="3"/>
  </w:num>
  <w:num w:numId="7">
    <w:abstractNumId w:val="16"/>
  </w:num>
  <w:num w:numId="8">
    <w:abstractNumId w:val="34"/>
  </w:num>
  <w:num w:numId="9">
    <w:abstractNumId w:val="14"/>
  </w:num>
  <w:num w:numId="10">
    <w:abstractNumId w:val="22"/>
  </w:num>
  <w:num w:numId="11">
    <w:abstractNumId w:val="5"/>
  </w:num>
  <w:num w:numId="12">
    <w:abstractNumId w:val="39"/>
  </w:num>
  <w:num w:numId="13">
    <w:abstractNumId w:val="35"/>
  </w:num>
  <w:num w:numId="14">
    <w:abstractNumId w:val="10"/>
  </w:num>
  <w:num w:numId="15">
    <w:abstractNumId w:val="2"/>
  </w:num>
  <w:num w:numId="16">
    <w:abstractNumId w:val="20"/>
  </w:num>
  <w:num w:numId="17">
    <w:abstractNumId w:val="4"/>
  </w:num>
  <w:num w:numId="18">
    <w:abstractNumId w:val="28"/>
  </w:num>
  <w:num w:numId="19">
    <w:abstractNumId w:val="23"/>
  </w:num>
  <w:num w:numId="20">
    <w:abstractNumId w:val="32"/>
  </w:num>
  <w:num w:numId="21">
    <w:abstractNumId w:val="12"/>
  </w:num>
  <w:num w:numId="22">
    <w:abstractNumId w:val="6"/>
  </w:num>
  <w:num w:numId="23">
    <w:abstractNumId w:val="1"/>
  </w:num>
  <w:num w:numId="24">
    <w:abstractNumId w:val="24"/>
  </w:num>
  <w:num w:numId="25">
    <w:abstractNumId w:val="9"/>
  </w:num>
  <w:num w:numId="26">
    <w:abstractNumId w:val="19"/>
  </w:num>
  <w:num w:numId="27">
    <w:abstractNumId w:val="17"/>
  </w:num>
  <w:num w:numId="28">
    <w:abstractNumId w:val="25"/>
  </w:num>
  <w:num w:numId="29">
    <w:abstractNumId w:val="13"/>
  </w:num>
  <w:num w:numId="30">
    <w:abstractNumId w:val="38"/>
  </w:num>
  <w:num w:numId="31">
    <w:abstractNumId w:val="11"/>
  </w:num>
  <w:num w:numId="32">
    <w:abstractNumId w:val="37"/>
  </w:num>
  <w:num w:numId="33">
    <w:abstractNumId w:val="18"/>
  </w:num>
  <w:num w:numId="34">
    <w:abstractNumId w:val="31"/>
  </w:num>
  <w:num w:numId="35">
    <w:abstractNumId w:val="27"/>
  </w:num>
  <w:num w:numId="36">
    <w:abstractNumId w:val="8"/>
  </w:num>
  <w:num w:numId="37">
    <w:abstractNumId w:val="29"/>
  </w:num>
  <w:num w:numId="38">
    <w:abstractNumId w:val="33"/>
  </w:num>
  <w:num w:numId="39">
    <w:abstractNumId w:val="36"/>
  </w:num>
  <w:num w:numId="40">
    <w:abstractNumId w:val="26"/>
  </w:num>
  <w:num w:numId="41">
    <w:abstractNumId w:val="40"/>
  </w:num>
  <w:num w:numId="42">
    <w:abstractNumId w:val="42"/>
  </w:num>
  <w:num w:numId="43">
    <w:abstractNumId w:val="43"/>
  </w:num>
  <w:num w:numId="44">
    <w:abstractNumId w:val="41"/>
  </w:num>
  <w:num w:numId="45">
    <w:abstractNumId w:val="31"/>
    <w:lvlOverride w:ilvl="0">
      <w:lvl w:ilvl="0" w:tplc="04090005">
        <w:start w:val="1"/>
        <w:numFmt w:val="bullet"/>
        <w:lvlText w:val=""/>
        <w:lvlJc w:val="left"/>
        <w:pPr>
          <w:ind w:left="144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160" w:hanging="360"/>
        </w:pPr>
        <w:rPr>
          <w:rFonts w:cs="Times New Roman" w:hint="eastAsia"/>
          <w:color w:val="0000FF"/>
          <w:u w:val="double"/>
        </w:rPr>
      </w:lvl>
    </w:lvlOverride>
    <w:lvlOverride w:ilvl="2">
      <w:lvl w:ilvl="2" w:tplc="24CC26A0">
        <w:start w:val="1"/>
        <w:numFmt w:val="decimal"/>
        <w:lvlText w:val="%3."/>
        <w:lvlJc w:val="left"/>
        <w:pPr>
          <w:ind w:left="2880" w:hanging="360"/>
        </w:pPr>
        <w:rPr>
          <w:rFonts w:cs="Times New Roman" w:hint="eastAsia"/>
          <w:color w:val="0000FF"/>
          <w:u w:val="double"/>
        </w:rPr>
      </w:lvl>
    </w:lvlOverride>
    <w:lvlOverride w:ilvl="3">
      <w:lvl w:ilvl="3" w:tplc="0D387BD6">
        <w:start w:val="1"/>
        <w:numFmt w:val="upperRoman"/>
        <w:lvlText w:val="%4."/>
        <w:lvlJc w:val="left"/>
        <w:pPr>
          <w:ind w:left="3960" w:hanging="720"/>
        </w:pPr>
        <w:rPr>
          <w:rFonts w:cs="Times New Roman" w:hint="eastAsia"/>
          <w:color w:val="auto"/>
          <w:u w:val="none"/>
        </w:rPr>
      </w:lvl>
    </w:lvlOverride>
    <w:lvlOverride w:ilvl="4">
      <w:lvl w:ilvl="4" w:tplc="04090003">
        <w:start w:val="1"/>
        <w:numFmt w:val="bullet"/>
        <w:lvlText w:val="o"/>
        <w:lvlJc w:val="left"/>
        <w:pPr>
          <w:ind w:left="432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5">
      <w:lvl w:ilvl="5" w:tplc="04090005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6">
      <w:lvl w:ilvl="6" w:tplc="04090001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  <w:color w:val="0000FF"/>
          <w:u w:val="double"/>
        </w:rPr>
      </w:lvl>
    </w:lvlOverride>
    <w:lvlOverride w:ilvl="7">
      <w:lvl w:ilvl="7" w:tplc="04090003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8">
      <w:lvl w:ilvl="8" w:tplc="04090005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  <w:color w:val="0000FF"/>
          <w:u w:val="double"/>
        </w:rPr>
      </w:lvl>
    </w:lvlOverride>
  </w:num>
  <w:num w:numId="46">
    <w:abstractNumId w:val="40"/>
    <w:lvlOverride w:ilvl="0">
      <w:lvl w:ilvl="0" w:tplc="2376D538">
        <w:start w:val="1"/>
        <w:numFmt w:val="decimal"/>
        <w:lvlText w:val="%1."/>
        <w:lvlJc w:val="left"/>
        <w:pPr>
          <w:ind w:left="1080" w:hanging="360"/>
        </w:pPr>
        <w:rPr>
          <w:rFonts w:cs="Times New Roman" w:hint="eastAsia"/>
          <w:b w:val="0"/>
          <w:i w:val="0"/>
          <w:color w:val="auto"/>
          <w:u w:val="non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7">
    <w:abstractNumId w:val="42"/>
    <w:lvlOverride w:ilvl="0">
      <w:lvl w:ilvl="0" w:tplc="17F80020">
        <w:start w:val="1"/>
        <w:numFmt w:val="decimal"/>
        <w:lvlText w:val="%1."/>
        <w:lvlJc w:val="left"/>
        <w:pPr>
          <w:ind w:left="108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auto"/>
          <w:u w:val="non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8">
    <w:abstractNumId w:val="41"/>
    <w:lvlOverride w:ilvl="0">
      <w:lvl w:ilvl="0" w:tplc="17F80020">
        <w:start w:val="1"/>
        <w:numFmt w:val="decimal"/>
        <w:lvlText w:val="%1."/>
        <w:lvlJc w:val="left"/>
        <w:pPr>
          <w:ind w:left="1080" w:hanging="36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auto"/>
          <w:u w:val="non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9">
    <w:abstractNumId w:val="43"/>
    <w:lvlOverride w:ilvl="0">
      <w:lvl w:ilvl="0" w:tplc="17F80020">
        <w:start w:val="1"/>
        <w:numFmt w:val="decimal"/>
        <w:lvlText w:val="%1."/>
        <w:lvlJc w:val="left"/>
        <w:pPr>
          <w:ind w:left="1170" w:hanging="36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90" w:hanging="360"/>
        </w:pPr>
        <w:rPr>
          <w:rFonts w:cs="Times New Roman"/>
          <w:color w:val="auto"/>
          <w:u w:val="non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61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33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405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77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9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21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930" w:hanging="180"/>
        </w:pPr>
        <w:rPr>
          <w:rFonts w:cs="Times New Roman"/>
          <w:color w:val="0000FF"/>
          <w:u w:val="doub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6"/>
    <w:rsid w:val="00013B88"/>
    <w:rsid w:val="0002445D"/>
    <w:rsid w:val="000570CD"/>
    <w:rsid w:val="0006698F"/>
    <w:rsid w:val="00072322"/>
    <w:rsid w:val="000A4B37"/>
    <w:rsid w:val="000B397C"/>
    <w:rsid w:val="000D2D51"/>
    <w:rsid w:val="00106729"/>
    <w:rsid w:val="0013141C"/>
    <w:rsid w:val="00147C71"/>
    <w:rsid w:val="001547A6"/>
    <w:rsid w:val="001D3631"/>
    <w:rsid w:val="001F4F9D"/>
    <w:rsid w:val="001F7273"/>
    <w:rsid w:val="00210C43"/>
    <w:rsid w:val="00231F4F"/>
    <w:rsid w:val="00291BBC"/>
    <w:rsid w:val="002B1734"/>
    <w:rsid w:val="002C68F2"/>
    <w:rsid w:val="002C7F8D"/>
    <w:rsid w:val="002E3DD9"/>
    <w:rsid w:val="002F0D14"/>
    <w:rsid w:val="002F76C2"/>
    <w:rsid w:val="00317015"/>
    <w:rsid w:val="00357FE4"/>
    <w:rsid w:val="00384E1A"/>
    <w:rsid w:val="003B5D61"/>
    <w:rsid w:val="003B5EE8"/>
    <w:rsid w:val="003C0A29"/>
    <w:rsid w:val="003D006F"/>
    <w:rsid w:val="0042755F"/>
    <w:rsid w:val="00431FC7"/>
    <w:rsid w:val="0048202F"/>
    <w:rsid w:val="0049198D"/>
    <w:rsid w:val="004D1DB3"/>
    <w:rsid w:val="004E5403"/>
    <w:rsid w:val="004F09A6"/>
    <w:rsid w:val="00502111"/>
    <w:rsid w:val="0052463B"/>
    <w:rsid w:val="005308F5"/>
    <w:rsid w:val="00545503"/>
    <w:rsid w:val="00585065"/>
    <w:rsid w:val="005A6F18"/>
    <w:rsid w:val="005B47C4"/>
    <w:rsid w:val="005C3E14"/>
    <w:rsid w:val="005D5667"/>
    <w:rsid w:val="005D57A8"/>
    <w:rsid w:val="005E6541"/>
    <w:rsid w:val="00612975"/>
    <w:rsid w:val="0061643E"/>
    <w:rsid w:val="00631CE6"/>
    <w:rsid w:val="0067503B"/>
    <w:rsid w:val="006A3FD9"/>
    <w:rsid w:val="006A46C3"/>
    <w:rsid w:val="006B3D45"/>
    <w:rsid w:val="007022DF"/>
    <w:rsid w:val="00712280"/>
    <w:rsid w:val="00743E0C"/>
    <w:rsid w:val="00753D84"/>
    <w:rsid w:val="007574C1"/>
    <w:rsid w:val="007613A3"/>
    <w:rsid w:val="00762EE4"/>
    <w:rsid w:val="007A3C96"/>
    <w:rsid w:val="007C06D0"/>
    <w:rsid w:val="007D1669"/>
    <w:rsid w:val="007E6881"/>
    <w:rsid w:val="007E7CCD"/>
    <w:rsid w:val="007F7ABE"/>
    <w:rsid w:val="00810CF8"/>
    <w:rsid w:val="008170A8"/>
    <w:rsid w:val="0082049A"/>
    <w:rsid w:val="008216F8"/>
    <w:rsid w:val="00830E2F"/>
    <w:rsid w:val="00881EDB"/>
    <w:rsid w:val="00897D0F"/>
    <w:rsid w:val="008C6690"/>
    <w:rsid w:val="008E78D4"/>
    <w:rsid w:val="00900EAA"/>
    <w:rsid w:val="00905FC4"/>
    <w:rsid w:val="009414C4"/>
    <w:rsid w:val="00965643"/>
    <w:rsid w:val="009B1BC6"/>
    <w:rsid w:val="009B3055"/>
    <w:rsid w:val="009B40CC"/>
    <w:rsid w:val="009C5F14"/>
    <w:rsid w:val="009D0E02"/>
    <w:rsid w:val="009D512F"/>
    <w:rsid w:val="009F0972"/>
    <w:rsid w:val="00A03122"/>
    <w:rsid w:val="00A30FEC"/>
    <w:rsid w:val="00A86AE5"/>
    <w:rsid w:val="00AA0300"/>
    <w:rsid w:val="00AA5C87"/>
    <w:rsid w:val="00AC187B"/>
    <w:rsid w:val="00AE611B"/>
    <w:rsid w:val="00B51634"/>
    <w:rsid w:val="00B631A8"/>
    <w:rsid w:val="00B9150C"/>
    <w:rsid w:val="00BB57AB"/>
    <w:rsid w:val="00BB69A0"/>
    <w:rsid w:val="00BC046F"/>
    <w:rsid w:val="00BC4B6A"/>
    <w:rsid w:val="00BE7CD1"/>
    <w:rsid w:val="00C06C25"/>
    <w:rsid w:val="00C65DD7"/>
    <w:rsid w:val="00C8022A"/>
    <w:rsid w:val="00CB7BDC"/>
    <w:rsid w:val="00CB7BF3"/>
    <w:rsid w:val="00CE4AA7"/>
    <w:rsid w:val="00D117E1"/>
    <w:rsid w:val="00D149B1"/>
    <w:rsid w:val="00D30927"/>
    <w:rsid w:val="00D7156D"/>
    <w:rsid w:val="00DA2CB3"/>
    <w:rsid w:val="00DB2DE9"/>
    <w:rsid w:val="00DB7BF7"/>
    <w:rsid w:val="00DC79D0"/>
    <w:rsid w:val="00DD546C"/>
    <w:rsid w:val="00DD5F9B"/>
    <w:rsid w:val="00DE005E"/>
    <w:rsid w:val="00E3115E"/>
    <w:rsid w:val="00E33612"/>
    <w:rsid w:val="00E54BA9"/>
    <w:rsid w:val="00E802C6"/>
    <w:rsid w:val="00E81149"/>
    <w:rsid w:val="00F06D1B"/>
    <w:rsid w:val="00F55C00"/>
    <w:rsid w:val="00F66770"/>
    <w:rsid w:val="00F70E6B"/>
    <w:rsid w:val="00FB3A6A"/>
    <w:rsid w:val="00F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link w:val="CommentSubject"/>
    <w:uiPriority w:val="99"/>
    <w:rPr>
      <w:rFonts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cs="Times New Roman"/>
    </w:rPr>
  </w:style>
  <w:style w:type="paragraph" w:customStyle="1" w:styleId="DocID">
    <w:name w:val="DocID"/>
    <w:basedOn w:val="Footer"/>
    <w:next w:val="Footer"/>
    <w:pPr>
      <w:tabs>
        <w:tab w:val="clear" w:pos="4680"/>
        <w:tab w:val="clear" w:pos="9360"/>
      </w:tabs>
      <w:ind w:left="-720"/>
    </w:pPr>
    <w:rPr>
      <w:rFonts w:ascii="Arial" w:hAnsi="Arial" w:cs="Arial"/>
      <w:sz w:val="16"/>
    </w:rPr>
  </w:style>
  <w:style w:type="character" w:customStyle="1" w:styleId="DocIDChar">
    <w:name w:val="DocID Char"/>
    <w:rPr>
      <w:rFonts w:ascii="Arial" w:hAnsi="Arial" w:cs="Arial"/>
      <w:sz w:val="16"/>
    </w:rPr>
  </w:style>
  <w:style w:type="paragraph" w:styleId="BodyText">
    <w:name w:val="Body Text"/>
    <w:basedOn w:val="Normal"/>
    <w:next w:val="CommentText"/>
    <w:link w:val="BodyTextChar"/>
    <w:uiPriority w:val="99"/>
    <w:pPr>
      <w:widowControl/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pPr>
      <w:widowControl/>
      <w:shd w:val="clear" w:color="auto" w:fill="00008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D515-21BE-4A95-BDFF-66F361BE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2014-02-07T21:10:00Z</dcterms:created>
  <dcterms:modified xsi:type="dcterms:W3CDTF">2014-02-07T21:11:00Z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gFAA5ajW4yTOEjvil1klVdcLEp2tACnBtSh42l8+dGXJ12/XU1ASko+/0HKfC3EhYVHeSiFBFebyGkOJ
BQCZ9YbKEoWrG7+RauajYn42PmLd8DU4XVBVaB336AmGjhlp+T/Fq2pm4O0RnMteWyZiUTYYvBUI
7Ew08AF6NNFlmk7W9AXITCCwSfaB26q3iKT5nKQMExC3TE0NCEQLl2ssq+NFAO8/CTejacD0I8yT
aU5OWX4j4vCCNZicF</vt:lpwstr>
  </property>
  <property fmtid="{D5CDD505-2E9C-101B-9397-08002B2CF9AE}" pid="3" name="MAIL_MSG_ID2">
    <vt:lpwstr>M0gcQx2q6DSX2G8n28VKL55s/pi3La7ip+6pPzMDvWtHNIqlhstQIcppqLU
znMPETtHd4OC9nHSkwXpVj2x5nceecMM/lylAg==</vt:lpwstr>
  </property>
  <property fmtid="{D5CDD505-2E9C-101B-9397-08002B2CF9AE}" pid="4" name="RESPONSE_SENDER_NAME">
    <vt:lpwstr>sAAAUYtyAkeNWR7hVZKeDd/uwYbJthJVyOMLljorDT5LOUc=</vt:lpwstr>
  </property>
  <property fmtid="{D5CDD505-2E9C-101B-9397-08002B2CF9AE}" pid="5" name="EMAIL_OWNER_ADDRESS">
    <vt:lpwstr>sAAA2RgG6J6jCJ2saKZknO4qSCVrHhUcrF+LKFRjTOhdyhs=</vt:lpwstr>
  </property>
  <property fmtid="{D5CDD505-2E9C-101B-9397-08002B2CF9AE}" pid="6" name="CUS_DocIDbChkLibDB">
    <vt:lpwstr>0</vt:lpwstr>
  </property>
  <property fmtid="{D5CDD505-2E9C-101B-9397-08002B2CF9AE}" pid="7" name="CUS_DocIDbchkClientNumber">
    <vt:lpwstr>0</vt:lpwstr>
  </property>
  <property fmtid="{D5CDD505-2E9C-101B-9397-08002B2CF9AE}" pid="8" name="CUS_DocIDbchkMatterNumber">
    <vt:lpwstr>0</vt:lpwstr>
  </property>
  <property fmtid="{D5CDD505-2E9C-101B-9397-08002B2CF9AE}" pid="9" name="CUS_DocIDbchkDocumentName">
    <vt:lpwstr>0</vt:lpwstr>
  </property>
  <property fmtid="{D5CDD505-2E9C-101B-9397-08002B2CF9AE}" pid="10" name="CUS_DocIDbchkAuthorName">
    <vt:lpwstr>0</vt:lpwstr>
  </property>
  <property fmtid="{D5CDD505-2E9C-101B-9397-08002B2CF9AE}" pid="11" name="CUS_DocIDbchkDocumentNumber">
    <vt:lpwstr>-1</vt:lpwstr>
  </property>
  <property fmtid="{D5CDD505-2E9C-101B-9397-08002B2CF9AE}" pid="12" name="CUS_DocIDbchkVersionNumber">
    <vt:lpwstr>-1</vt:lpwstr>
  </property>
  <property fmtid="{D5CDD505-2E9C-101B-9397-08002B2CF9AE}" pid="13" name="CUS_DocIDbchkDate">
    <vt:lpwstr>0</vt:lpwstr>
  </property>
  <property fmtid="{D5CDD505-2E9C-101B-9397-08002B2CF9AE}" pid="14" name="CUS_DocIDbchkTime">
    <vt:lpwstr>0</vt:lpwstr>
  </property>
  <property fmtid="{D5CDD505-2E9C-101B-9397-08002B2CF9AE}" pid="15" name="CUS_DocIDiPage">
    <vt:lpwstr>0</vt:lpwstr>
  </property>
  <property fmtid="{D5CDD505-2E9C-101B-9397-08002B2CF9AE}" pid="16" name="WS_TRACKING_ID">
    <vt:lpwstr>9ed42925-d3ce-4b80-b992-8c57a6883f8b</vt:lpwstr>
  </property>
  <property fmtid="{D5CDD505-2E9C-101B-9397-08002B2CF9AE}" pid="17" name="CUS_DocIDsSeparator">
    <vt:lpwstr>(Use Firm's Default)</vt:lpwstr>
  </property>
  <property fmtid="{D5CDD505-2E9C-101B-9397-08002B2CF9AE}" pid="18" name="CUS_DocIDString">
    <vt:lpwstr>4834-9632-6166.2</vt:lpwstr>
  </property>
  <property fmtid="{D5CDD505-2E9C-101B-9397-08002B2CF9AE}" pid="19" name="CUS_DocIDOperation">
    <vt:lpwstr>EVERY PAGE</vt:lpwstr>
  </property>
</Properties>
</file>